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0EF47AE" w14:textId="1C35F422" w:rsidR="001C137C" w:rsidRPr="009D56B1" w:rsidRDefault="001C137C" w:rsidP="001C137C">
      <w:pPr>
        <w:pStyle w:val="Header"/>
        <w:tabs>
          <w:tab w:val="right" w:pos="9639"/>
        </w:tabs>
        <w:rPr>
          <w:rFonts w:eastAsia="MS Mincho"/>
          <w:bCs/>
          <w:i/>
          <w:noProof w:val="0"/>
          <w:sz w:val="32"/>
          <w:lang w:eastAsia="ko-KR"/>
        </w:rPr>
      </w:pPr>
      <w:r w:rsidRPr="00A87711">
        <w:rPr>
          <w:noProof w:val="0"/>
          <w:sz w:val="24"/>
          <w:lang w:eastAsia="zh-CN"/>
        </w:rPr>
        <w:t>3GPP TSG RAN WG2</w:t>
      </w:r>
      <w:r w:rsidR="00EA69D8">
        <w:rPr>
          <w:noProof w:val="0"/>
          <w:sz w:val="24"/>
          <w:lang w:eastAsia="zh-CN"/>
        </w:rPr>
        <w:t xml:space="preserve"> Meeting #99</w:t>
      </w:r>
      <w:r w:rsidRPr="009D56B1">
        <w:rPr>
          <w:bCs/>
          <w:noProof w:val="0"/>
          <w:sz w:val="24"/>
        </w:rPr>
        <w:tab/>
      </w:r>
      <w:r w:rsidR="00732A41">
        <w:rPr>
          <w:bCs/>
          <w:noProof w:val="0"/>
          <w:sz w:val="24"/>
          <w:lang w:eastAsia="ja-JP"/>
        </w:rPr>
        <w:t>R2-</w:t>
      </w:r>
      <w:r w:rsidR="00732A41" w:rsidRPr="00732A41">
        <w:rPr>
          <w:bCs/>
          <w:noProof w:val="0"/>
          <w:sz w:val="24"/>
          <w:lang w:eastAsia="ja-JP"/>
        </w:rPr>
        <w:t>170</w:t>
      </w:r>
      <w:r w:rsidR="000F5A71">
        <w:rPr>
          <w:bCs/>
          <w:noProof w:val="0"/>
          <w:sz w:val="24"/>
          <w:lang w:eastAsia="ja-JP"/>
        </w:rPr>
        <w:t>9048</w:t>
      </w:r>
    </w:p>
    <w:p w14:paraId="60EF47AF" w14:textId="77777777" w:rsidR="001C137C" w:rsidRPr="009D56B1" w:rsidRDefault="00EA69D8" w:rsidP="001C137C">
      <w:pPr>
        <w:pStyle w:val="Header"/>
        <w:tabs>
          <w:tab w:val="right" w:pos="9639"/>
        </w:tabs>
        <w:rPr>
          <w:bCs/>
          <w:i/>
          <w:noProof w:val="0"/>
          <w:sz w:val="24"/>
        </w:rPr>
      </w:pPr>
      <w:r w:rsidRPr="00EA69D8">
        <w:rPr>
          <w:noProof w:val="0"/>
          <w:sz w:val="24"/>
          <w:lang w:eastAsia="zh-CN"/>
        </w:rPr>
        <w:t>Berlin, Germany, 21st – 25th August 2017</w:t>
      </w:r>
      <w:r w:rsidR="001C137C" w:rsidRPr="009D56B1">
        <w:rPr>
          <w:noProof w:val="0"/>
          <w:sz w:val="24"/>
          <w:lang w:eastAsia="zh-CN"/>
        </w:rPr>
        <w:tab/>
      </w:r>
    </w:p>
    <w:p w14:paraId="60EF47B0" w14:textId="77777777" w:rsidR="001C137C" w:rsidRPr="009D56B1" w:rsidRDefault="001C137C" w:rsidP="001C137C">
      <w:pPr>
        <w:pStyle w:val="Header"/>
        <w:rPr>
          <w:bCs/>
          <w:noProof w:val="0"/>
          <w:sz w:val="24"/>
          <w:lang w:eastAsia="ja-JP"/>
        </w:rPr>
      </w:pPr>
    </w:p>
    <w:p w14:paraId="60EF47B1" w14:textId="77777777" w:rsidR="001C137C" w:rsidRPr="009D56B1" w:rsidRDefault="001C137C" w:rsidP="001C137C">
      <w:pPr>
        <w:pStyle w:val="CRCoverPage"/>
        <w:rPr>
          <w:rFonts w:eastAsia="SimSun" w:cs="Arial"/>
          <w:b/>
          <w:bCs/>
          <w:sz w:val="24"/>
          <w:lang w:val="en-US"/>
        </w:rPr>
      </w:pPr>
      <w:r w:rsidRPr="009D56B1">
        <w:rPr>
          <w:rFonts w:cs="Arial"/>
          <w:b/>
          <w:bCs/>
          <w:sz w:val="24"/>
          <w:lang w:val="en-US"/>
        </w:rPr>
        <w:t>Agenda item:</w:t>
      </w:r>
      <w:r w:rsidRPr="009D56B1">
        <w:rPr>
          <w:rFonts w:cs="Arial"/>
          <w:b/>
          <w:bCs/>
          <w:sz w:val="24"/>
          <w:lang w:val="en-US"/>
        </w:rPr>
        <w:tab/>
      </w:r>
      <w:r w:rsidR="00910B7A">
        <w:rPr>
          <w:rFonts w:cs="Arial"/>
          <w:b/>
          <w:bCs/>
          <w:sz w:val="24"/>
          <w:lang w:val="en-US"/>
        </w:rPr>
        <w:t>9.10.2</w:t>
      </w:r>
    </w:p>
    <w:p w14:paraId="60EF47B2" w14:textId="77777777" w:rsidR="001C137C" w:rsidRPr="009D56B1" w:rsidRDefault="001C137C" w:rsidP="001C137C">
      <w:pPr>
        <w:tabs>
          <w:tab w:val="left" w:pos="1985"/>
        </w:tabs>
        <w:ind w:left="1985" w:hanging="1985"/>
        <w:rPr>
          <w:rFonts w:ascii="Arial" w:hAnsi="Arial" w:cs="Arial"/>
          <w:b/>
          <w:bCs/>
          <w:sz w:val="24"/>
          <w:lang w:eastAsia="zh-CN"/>
        </w:rPr>
      </w:pPr>
      <w:r w:rsidRPr="009D56B1">
        <w:rPr>
          <w:rFonts w:ascii="Arial" w:hAnsi="Arial" w:cs="Arial"/>
          <w:b/>
          <w:bCs/>
          <w:sz w:val="24"/>
        </w:rPr>
        <w:t>Source:</w:t>
      </w:r>
      <w:r w:rsidRPr="009D56B1">
        <w:rPr>
          <w:rFonts w:ascii="Arial" w:hAnsi="Arial" w:cs="Arial"/>
          <w:b/>
          <w:bCs/>
          <w:sz w:val="24"/>
        </w:rPr>
        <w:tab/>
      </w:r>
      <w:r w:rsidRPr="009D56B1">
        <w:rPr>
          <w:rFonts w:ascii="Arial" w:hAnsi="Arial" w:cs="Arial"/>
          <w:b/>
          <w:bCs/>
          <w:sz w:val="24"/>
        </w:rPr>
        <w:tab/>
        <w:t>Intel</w:t>
      </w:r>
      <w:r w:rsidRPr="009D56B1">
        <w:rPr>
          <w:rFonts w:ascii="Arial" w:hAnsi="Arial" w:cs="Arial"/>
          <w:b/>
          <w:bCs/>
          <w:sz w:val="24"/>
          <w:lang w:eastAsia="zh-CN"/>
        </w:rPr>
        <w:t xml:space="preserve"> Corporation</w:t>
      </w:r>
    </w:p>
    <w:p w14:paraId="60EF47B3" w14:textId="77777777" w:rsidR="001C137C" w:rsidRPr="009D56B1" w:rsidRDefault="001C137C" w:rsidP="001C137C">
      <w:pPr>
        <w:tabs>
          <w:tab w:val="left" w:pos="1985"/>
        </w:tabs>
        <w:ind w:left="1985" w:hanging="1985"/>
        <w:rPr>
          <w:rFonts w:ascii="Arial" w:hAnsi="Arial" w:cs="Arial"/>
          <w:b/>
          <w:bCs/>
          <w:sz w:val="24"/>
        </w:rPr>
      </w:pPr>
      <w:r w:rsidRPr="009D56B1">
        <w:rPr>
          <w:rFonts w:ascii="Arial" w:hAnsi="Arial" w:cs="Arial"/>
          <w:b/>
          <w:bCs/>
          <w:sz w:val="24"/>
        </w:rPr>
        <w:t>Title:</w:t>
      </w:r>
      <w:r w:rsidRPr="009D56B1">
        <w:rPr>
          <w:rFonts w:ascii="Arial" w:hAnsi="Arial" w:cs="Arial"/>
          <w:b/>
          <w:bCs/>
          <w:sz w:val="24"/>
        </w:rPr>
        <w:tab/>
      </w:r>
      <w:r w:rsidRPr="009D56B1">
        <w:rPr>
          <w:rFonts w:ascii="Arial" w:hAnsi="Arial" w:cs="Arial"/>
          <w:b/>
          <w:bCs/>
          <w:sz w:val="24"/>
        </w:rPr>
        <w:tab/>
      </w:r>
      <w:r w:rsidR="00BB4A45">
        <w:rPr>
          <w:rFonts w:ascii="Arial" w:hAnsi="Arial" w:cs="Arial"/>
          <w:b/>
          <w:bCs/>
          <w:sz w:val="24"/>
        </w:rPr>
        <w:t>Carrier Aggregation over PC5</w:t>
      </w:r>
    </w:p>
    <w:p w14:paraId="60EF47B4" w14:textId="77777777" w:rsidR="001C137C" w:rsidRPr="009D56B1" w:rsidRDefault="001C137C" w:rsidP="001C137C">
      <w:pPr>
        <w:rPr>
          <w:rFonts w:ascii="Arial" w:hAnsi="Arial" w:cs="Arial"/>
          <w:b/>
          <w:bCs/>
          <w:sz w:val="24"/>
          <w:lang w:eastAsia="zh-CN"/>
        </w:rPr>
      </w:pPr>
      <w:r w:rsidRPr="009D56B1">
        <w:rPr>
          <w:rFonts w:ascii="Arial" w:hAnsi="Arial" w:cs="Arial"/>
          <w:b/>
          <w:bCs/>
          <w:sz w:val="24"/>
        </w:rPr>
        <w:t>Docum</w:t>
      </w:r>
      <w:r w:rsidR="00BB4A45">
        <w:rPr>
          <w:rFonts w:ascii="Arial" w:hAnsi="Arial" w:cs="Arial"/>
          <w:b/>
          <w:bCs/>
          <w:sz w:val="24"/>
        </w:rPr>
        <w:t>ent for:</w:t>
      </w:r>
      <w:r w:rsidR="00BB4A45">
        <w:rPr>
          <w:rFonts w:ascii="Arial" w:hAnsi="Arial" w:cs="Arial"/>
          <w:b/>
          <w:bCs/>
          <w:sz w:val="24"/>
        </w:rPr>
        <w:tab/>
        <w:t>Discussion</w:t>
      </w:r>
    </w:p>
    <w:p w14:paraId="60EF47B5" w14:textId="77777777" w:rsidR="008669B1" w:rsidRPr="00E0063E" w:rsidRDefault="008669B1" w:rsidP="006D136D">
      <w:pPr>
        <w:pStyle w:val="Tdoc"/>
        <w:ind w:left="0" w:firstLine="0"/>
      </w:pPr>
      <w:r w:rsidRPr="00E0063E">
        <w:t>Introduction</w:t>
      </w:r>
      <w:r w:rsidRPr="00E0063E">
        <w:rPr>
          <w:lang w:val="en-GB"/>
        </w:rPr>
        <w:t xml:space="preserve">  </w:t>
      </w:r>
    </w:p>
    <w:p w14:paraId="60EF47B6" w14:textId="77777777" w:rsidR="001C137C" w:rsidRPr="001C137C" w:rsidRDefault="001C137C" w:rsidP="001C137C">
      <w:pPr>
        <w:overflowPunct w:val="0"/>
        <w:autoSpaceDE w:val="0"/>
        <w:autoSpaceDN w:val="0"/>
        <w:adjustRightInd w:val="0"/>
        <w:spacing w:after="120" w:line="240" w:lineRule="auto"/>
        <w:jc w:val="both"/>
        <w:textAlignment w:val="baseline"/>
        <w:rPr>
          <w:rFonts w:ascii="Times New Roman" w:hAnsi="Times New Roman"/>
          <w:sz w:val="20"/>
          <w:szCs w:val="20"/>
          <w:lang w:eastAsia="zh-CN"/>
        </w:rPr>
      </w:pPr>
      <w:r w:rsidRPr="001C137C">
        <w:rPr>
          <w:rFonts w:ascii="Times New Roman" w:hAnsi="Times New Roman"/>
          <w:sz w:val="20"/>
          <w:szCs w:val="20"/>
          <w:lang w:eastAsia="zh-CN"/>
        </w:rPr>
        <w:t xml:space="preserve">The following </w:t>
      </w:r>
      <w:r w:rsidR="00BB4A45">
        <w:rPr>
          <w:rFonts w:ascii="Times New Roman" w:hAnsi="Times New Roman"/>
          <w:sz w:val="20"/>
          <w:szCs w:val="20"/>
          <w:lang w:eastAsia="zh-CN"/>
        </w:rPr>
        <w:t>objectives form the crux of the 3GPP V2X phase 2 WI, which was approved in RAN#75</w:t>
      </w:r>
      <w:r w:rsidRPr="001C137C">
        <w:rPr>
          <w:rFonts w:ascii="Times New Roman" w:hAnsi="Times New Roman"/>
          <w:sz w:val="20"/>
          <w:szCs w:val="20"/>
          <w:lang w:eastAsia="zh-CN"/>
        </w:rPr>
        <w:t>:</w:t>
      </w:r>
    </w:p>
    <w:tbl>
      <w:tblPr>
        <w:tblW w:w="0" w:type="auto"/>
        <w:tblInd w:w="1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00"/>
      </w:tblGrid>
      <w:tr w:rsidR="00AF256D" w14:paraId="60EF47BE" w14:textId="77777777" w:rsidTr="00BB4A45">
        <w:trPr>
          <w:trHeight w:val="300"/>
        </w:trPr>
        <w:tc>
          <w:tcPr>
            <w:tcW w:w="9400" w:type="dxa"/>
          </w:tcPr>
          <w:p w14:paraId="60EF47B7" w14:textId="77777777" w:rsidR="00BB4A45" w:rsidRPr="00BB4A45" w:rsidRDefault="00BB4A45" w:rsidP="00BB4A45">
            <w:pPr>
              <w:numPr>
                <w:ilvl w:val="0"/>
                <w:numId w:val="7"/>
              </w:numPr>
              <w:spacing w:after="0" w:line="240" w:lineRule="auto"/>
              <w:textAlignment w:val="center"/>
              <w:rPr>
                <w:rFonts w:ascii="Times New Roman" w:hAnsi="Times New Roman"/>
                <w:sz w:val="20"/>
                <w:szCs w:val="20"/>
                <w:lang w:val="en-GB" w:eastAsia="ja-JP"/>
              </w:rPr>
            </w:pPr>
            <w:r w:rsidRPr="00BB4A45">
              <w:rPr>
                <w:rFonts w:ascii="Times New Roman" w:hAnsi="Times New Roman" w:hint="eastAsia"/>
                <w:sz w:val="20"/>
                <w:szCs w:val="20"/>
                <w:lang w:val="en-GB" w:eastAsia="ja-JP"/>
              </w:rPr>
              <w:t xml:space="preserve">Specify </w:t>
            </w:r>
            <w:r w:rsidRPr="00BB4A45">
              <w:rPr>
                <w:rFonts w:ascii="Times New Roman" w:hAnsi="Times New Roman"/>
                <w:sz w:val="20"/>
                <w:szCs w:val="20"/>
                <w:lang w:val="en-GB" w:eastAsia="ja-JP"/>
              </w:rPr>
              <w:t>solutions</w:t>
            </w:r>
            <w:r w:rsidRPr="00BB4A45">
              <w:rPr>
                <w:rFonts w:ascii="Times New Roman" w:hAnsi="Times New Roman" w:hint="eastAsia"/>
                <w:sz w:val="20"/>
                <w:szCs w:val="20"/>
                <w:lang w:val="en-GB" w:eastAsia="ja-JP"/>
              </w:rPr>
              <w:t xml:space="preserve"> for the </w:t>
            </w:r>
            <w:r w:rsidRPr="00BB4A45">
              <w:rPr>
                <w:rFonts w:ascii="Times New Roman" w:hAnsi="Times New Roman"/>
                <w:sz w:val="20"/>
                <w:szCs w:val="20"/>
                <w:lang w:val="en-GB" w:eastAsia="ja-JP"/>
              </w:rPr>
              <w:t>fo</w:t>
            </w:r>
            <w:r w:rsidRPr="00BB4A45">
              <w:rPr>
                <w:rFonts w:ascii="Times New Roman" w:hAnsi="Times New Roman" w:hint="eastAsia"/>
                <w:sz w:val="20"/>
                <w:szCs w:val="20"/>
                <w:lang w:val="en-GB" w:eastAsia="ja-JP"/>
              </w:rPr>
              <w:t xml:space="preserve">llowing </w:t>
            </w:r>
            <w:r w:rsidRPr="00BB4A45">
              <w:rPr>
                <w:rFonts w:ascii="Times New Roman" w:hAnsi="Times New Roman"/>
                <w:sz w:val="20"/>
                <w:szCs w:val="20"/>
                <w:lang w:val="en-GB" w:eastAsia="ja-JP"/>
              </w:rPr>
              <w:t>PC5 functionalit</w:t>
            </w:r>
            <w:r w:rsidRPr="00BB4A45">
              <w:rPr>
                <w:rFonts w:ascii="Times New Roman" w:hAnsi="Times New Roman" w:hint="eastAsia"/>
                <w:sz w:val="20"/>
                <w:szCs w:val="20"/>
                <w:lang w:val="en-GB" w:eastAsia="ja-JP"/>
              </w:rPr>
              <w:t>ies,</w:t>
            </w:r>
            <w:r w:rsidRPr="00BB4A45">
              <w:rPr>
                <w:rFonts w:ascii="Times New Roman" w:hAnsi="Times New Roman"/>
                <w:sz w:val="20"/>
                <w:szCs w:val="20"/>
                <w:lang w:val="en-GB" w:eastAsia="ja-JP"/>
              </w:rPr>
              <w:t xml:space="preserve"> which can co-exist in the same resource pools as Rel-14 functionality and use the same scheduling assignment format</w:t>
            </w:r>
            <w:r w:rsidRPr="00BB4A45">
              <w:rPr>
                <w:rFonts w:ascii="Times New Roman" w:hAnsi="Times New Roman" w:hint="eastAsia"/>
                <w:sz w:val="20"/>
                <w:szCs w:val="20"/>
                <w:lang w:val="en-GB" w:eastAsia="ja-JP"/>
              </w:rPr>
              <w:t xml:space="preserve"> (</w:t>
            </w:r>
            <w:r w:rsidRPr="00BB4A45">
              <w:rPr>
                <w:rFonts w:ascii="Times New Roman" w:hAnsi="Times New Roman"/>
                <w:sz w:val="20"/>
                <w:szCs w:val="20"/>
                <w:lang w:val="en-GB" w:eastAsia="ja-JP"/>
              </w:rPr>
              <w:t>which can be decoded by Rel-14 UEs</w:t>
            </w:r>
            <w:r w:rsidRPr="00BB4A45">
              <w:rPr>
                <w:rFonts w:ascii="Times New Roman" w:hAnsi="Times New Roman" w:hint="eastAsia"/>
                <w:sz w:val="20"/>
                <w:szCs w:val="20"/>
                <w:lang w:val="en-GB" w:eastAsia="ja-JP"/>
              </w:rPr>
              <w:t>)</w:t>
            </w:r>
            <w:r w:rsidRPr="00BB4A45">
              <w:rPr>
                <w:rFonts w:ascii="Times New Roman" w:hAnsi="Times New Roman"/>
                <w:sz w:val="20"/>
                <w:szCs w:val="20"/>
                <w:lang w:val="en-GB" w:eastAsia="ja-JP"/>
              </w:rPr>
              <w:t>, without causing significant degradation to Rel-14 PC5 operation</w:t>
            </w:r>
            <w:r w:rsidRPr="00BB4A45">
              <w:rPr>
                <w:rFonts w:ascii="Times New Roman" w:hAnsi="Times New Roman" w:hint="eastAsia"/>
                <w:sz w:val="20"/>
                <w:szCs w:val="20"/>
                <w:lang w:val="en-GB" w:eastAsia="ja-JP"/>
              </w:rPr>
              <w:t xml:space="preserve"> compared to that of Rel-14 UEs: [</w:t>
            </w:r>
            <w:r w:rsidRPr="00BB4A45">
              <w:rPr>
                <w:rFonts w:ascii="Times New Roman" w:hAnsi="Times New Roman"/>
                <w:sz w:val="20"/>
                <w:szCs w:val="20"/>
                <w:lang w:val="en-GB" w:eastAsia="ja-JP"/>
              </w:rPr>
              <w:t>RAN</w:t>
            </w:r>
            <w:r w:rsidRPr="00BB4A45">
              <w:rPr>
                <w:rFonts w:ascii="Times New Roman" w:hAnsi="Times New Roman" w:hint="eastAsia"/>
                <w:sz w:val="20"/>
                <w:szCs w:val="20"/>
                <w:lang w:val="en-GB" w:eastAsia="ja-JP"/>
              </w:rPr>
              <w:t>1</w:t>
            </w:r>
            <w:r w:rsidRPr="00BB4A45">
              <w:rPr>
                <w:rFonts w:ascii="Times New Roman" w:hAnsi="Times New Roman"/>
                <w:sz w:val="20"/>
                <w:szCs w:val="20"/>
                <w:lang w:val="en-GB" w:eastAsia="ja-JP"/>
              </w:rPr>
              <w:t>, RAN</w:t>
            </w:r>
            <w:r w:rsidRPr="00BB4A45">
              <w:rPr>
                <w:rFonts w:ascii="Times New Roman" w:hAnsi="Times New Roman" w:hint="eastAsia"/>
                <w:sz w:val="20"/>
                <w:szCs w:val="20"/>
                <w:lang w:val="en-GB" w:eastAsia="ja-JP"/>
              </w:rPr>
              <w:t>2</w:t>
            </w:r>
            <w:r w:rsidRPr="00BB4A45">
              <w:rPr>
                <w:rFonts w:ascii="Times New Roman" w:hAnsi="Times New Roman"/>
                <w:sz w:val="20"/>
                <w:szCs w:val="20"/>
                <w:lang w:val="en-GB" w:eastAsia="ja-JP"/>
              </w:rPr>
              <w:t xml:space="preserve">, </w:t>
            </w:r>
            <w:r w:rsidRPr="00BB4A45">
              <w:rPr>
                <w:rFonts w:ascii="Times New Roman" w:hAnsi="Times New Roman" w:hint="eastAsia"/>
                <w:sz w:val="20"/>
                <w:szCs w:val="20"/>
                <w:lang w:val="en-GB" w:eastAsia="ja-JP"/>
              </w:rPr>
              <w:t>RAN4]</w:t>
            </w:r>
          </w:p>
          <w:p w14:paraId="60EF47B8" w14:textId="77777777" w:rsidR="00BB4A45" w:rsidRPr="00BB4A45" w:rsidRDefault="00BB4A45" w:rsidP="00BB4A45">
            <w:pPr>
              <w:numPr>
                <w:ilvl w:val="1"/>
                <w:numId w:val="7"/>
              </w:numPr>
              <w:spacing w:after="0" w:line="240" w:lineRule="auto"/>
              <w:textAlignment w:val="center"/>
              <w:rPr>
                <w:rFonts w:ascii="Times New Roman" w:hAnsi="Times New Roman"/>
                <w:sz w:val="20"/>
                <w:szCs w:val="20"/>
                <w:lang w:val="en-GB" w:eastAsia="ja-JP"/>
              </w:rPr>
            </w:pPr>
            <w:r w:rsidRPr="00BB4A45">
              <w:rPr>
                <w:rFonts w:ascii="Times New Roman" w:hAnsi="Times New Roman" w:hint="eastAsia"/>
                <w:sz w:val="20"/>
                <w:szCs w:val="20"/>
                <w:lang w:val="en-GB" w:eastAsia="ja-JP"/>
              </w:rPr>
              <w:t xml:space="preserve">Carrier </w:t>
            </w:r>
            <w:r w:rsidRPr="00BB4A45">
              <w:rPr>
                <w:rFonts w:ascii="Times New Roman" w:hAnsi="Times New Roman"/>
                <w:sz w:val="20"/>
                <w:szCs w:val="20"/>
                <w:lang w:val="en-GB" w:eastAsia="ja-JP"/>
              </w:rPr>
              <w:t>aggregation</w:t>
            </w:r>
            <w:r w:rsidRPr="00BB4A45">
              <w:rPr>
                <w:rFonts w:ascii="Times New Roman" w:hAnsi="Times New Roman" w:hint="eastAsia"/>
                <w:sz w:val="20"/>
                <w:szCs w:val="20"/>
                <w:lang w:val="en-GB" w:eastAsia="ja-JP"/>
              </w:rPr>
              <w:t xml:space="preserve"> (up to 8 PC5 carriers);</w:t>
            </w:r>
          </w:p>
          <w:p w14:paraId="60EF47B9" w14:textId="77777777" w:rsidR="00BB4A45" w:rsidRPr="00BB4A45" w:rsidRDefault="00BB4A45" w:rsidP="00BB4A45">
            <w:pPr>
              <w:numPr>
                <w:ilvl w:val="1"/>
                <w:numId w:val="7"/>
              </w:numPr>
              <w:spacing w:after="0" w:line="240" w:lineRule="auto"/>
              <w:textAlignment w:val="center"/>
              <w:rPr>
                <w:rFonts w:ascii="Times New Roman" w:hAnsi="Times New Roman"/>
                <w:sz w:val="20"/>
                <w:szCs w:val="20"/>
                <w:lang w:val="en-GB" w:eastAsia="ja-JP"/>
              </w:rPr>
            </w:pPr>
            <w:r w:rsidRPr="00BB4A45">
              <w:rPr>
                <w:rFonts w:ascii="Times New Roman" w:hAnsi="Times New Roman" w:hint="eastAsia"/>
                <w:sz w:val="20"/>
                <w:szCs w:val="20"/>
                <w:lang w:val="en-GB" w:eastAsia="ja-JP"/>
              </w:rPr>
              <w:t>64QAM;</w:t>
            </w:r>
          </w:p>
          <w:p w14:paraId="60EF47BA" w14:textId="77777777" w:rsidR="00BB4A45" w:rsidRPr="00BB4A45" w:rsidRDefault="00BB4A45" w:rsidP="00BB4A45">
            <w:pPr>
              <w:numPr>
                <w:ilvl w:val="1"/>
                <w:numId w:val="7"/>
              </w:numPr>
              <w:spacing w:after="0" w:line="240" w:lineRule="auto"/>
              <w:textAlignment w:val="center"/>
              <w:rPr>
                <w:rFonts w:ascii="Times New Roman" w:hAnsi="Times New Roman"/>
                <w:sz w:val="20"/>
                <w:szCs w:val="20"/>
                <w:lang w:val="en-GB" w:eastAsia="ja-JP"/>
              </w:rPr>
            </w:pPr>
            <w:r w:rsidRPr="00BB4A45">
              <w:rPr>
                <w:rFonts w:ascii="Times New Roman" w:hAnsi="Times New Roman" w:hint="eastAsia"/>
                <w:sz w:val="20"/>
                <w:szCs w:val="20"/>
                <w:lang w:val="en-GB" w:eastAsia="ja-JP"/>
              </w:rPr>
              <w:t>R</w:t>
            </w:r>
            <w:r w:rsidRPr="00BB4A45">
              <w:rPr>
                <w:rFonts w:ascii="Times New Roman" w:hAnsi="Times New Roman"/>
                <w:sz w:val="20"/>
                <w:szCs w:val="20"/>
                <w:lang w:val="en-GB" w:eastAsia="ja-JP"/>
              </w:rPr>
              <w:t xml:space="preserve">educe </w:t>
            </w:r>
            <w:r w:rsidRPr="00BB4A45">
              <w:rPr>
                <w:rFonts w:ascii="Times New Roman" w:hAnsi="Times New Roman" w:hint="eastAsia"/>
                <w:sz w:val="20"/>
                <w:szCs w:val="20"/>
                <w:lang w:val="en-GB" w:eastAsia="ja-JP"/>
              </w:rPr>
              <w:t xml:space="preserve">the </w:t>
            </w:r>
            <w:r w:rsidRPr="00BB4A45">
              <w:rPr>
                <w:rFonts w:ascii="Times New Roman" w:hAnsi="Times New Roman"/>
                <w:sz w:val="20"/>
                <w:szCs w:val="20"/>
                <w:lang w:val="en-GB" w:eastAsia="ja-JP"/>
              </w:rPr>
              <w:t>maximum time between packet arrival at Layer 1 and resource selected for transmission</w:t>
            </w:r>
            <w:r w:rsidRPr="00BB4A45">
              <w:rPr>
                <w:rFonts w:ascii="Times New Roman" w:hAnsi="Times New Roman" w:hint="eastAsia"/>
                <w:sz w:val="20"/>
                <w:szCs w:val="20"/>
                <w:lang w:val="en-GB" w:eastAsia="ja-JP"/>
              </w:rPr>
              <w:t>;</w:t>
            </w:r>
          </w:p>
          <w:p w14:paraId="60EF47BB" w14:textId="77777777" w:rsidR="00BB4A45" w:rsidRPr="00BB4A45" w:rsidRDefault="00BB4A45" w:rsidP="00BB4A45">
            <w:pPr>
              <w:numPr>
                <w:ilvl w:val="1"/>
                <w:numId w:val="7"/>
              </w:numPr>
              <w:spacing w:after="0" w:line="240" w:lineRule="auto"/>
              <w:textAlignment w:val="center"/>
              <w:rPr>
                <w:rFonts w:ascii="Times New Roman" w:hAnsi="Times New Roman"/>
                <w:sz w:val="20"/>
                <w:szCs w:val="20"/>
                <w:lang w:val="en-GB" w:eastAsia="ja-JP"/>
              </w:rPr>
            </w:pPr>
            <w:r w:rsidRPr="00BB4A45">
              <w:rPr>
                <w:rFonts w:ascii="Times New Roman" w:hAnsi="Times New Roman"/>
                <w:sz w:val="20"/>
                <w:szCs w:val="20"/>
                <w:lang w:val="en-GB" w:eastAsia="ja-JP"/>
              </w:rPr>
              <w:t>R</w:t>
            </w:r>
            <w:r w:rsidRPr="00BB4A45">
              <w:rPr>
                <w:rFonts w:ascii="Times New Roman" w:hAnsi="Times New Roman" w:hint="eastAsia"/>
                <w:sz w:val="20"/>
                <w:szCs w:val="20"/>
                <w:lang w:val="en-GB" w:eastAsia="ja-JP"/>
              </w:rPr>
              <w:t xml:space="preserve">adio resource pool sharing </w:t>
            </w:r>
            <w:r w:rsidRPr="00BB4A45">
              <w:rPr>
                <w:rFonts w:ascii="Times New Roman" w:hAnsi="Times New Roman"/>
                <w:sz w:val="20"/>
                <w:szCs w:val="20"/>
                <w:lang w:val="en-GB" w:eastAsia="ja-JP"/>
              </w:rPr>
              <w:t>between UEs using mode 3 and UEs using mode 4</w:t>
            </w:r>
            <w:r w:rsidRPr="00BB4A45">
              <w:rPr>
                <w:rFonts w:ascii="Times New Roman" w:hAnsi="Times New Roman" w:hint="eastAsia"/>
                <w:sz w:val="20"/>
                <w:szCs w:val="20"/>
                <w:lang w:val="en-GB" w:eastAsia="ja-JP"/>
              </w:rPr>
              <w:t>;</w:t>
            </w:r>
          </w:p>
          <w:p w14:paraId="60EF47BC" w14:textId="77777777" w:rsidR="00BB4A45" w:rsidRPr="00BB4A45" w:rsidRDefault="00BB4A45" w:rsidP="00BB4A45">
            <w:pPr>
              <w:numPr>
                <w:ilvl w:val="0"/>
                <w:numId w:val="7"/>
              </w:numPr>
              <w:spacing w:after="0" w:line="240" w:lineRule="auto"/>
              <w:textAlignment w:val="center"/>
              <w:rPr>
                <w:rFonts w:ascii="Times New Roman" w:hAnsi="Times New Roman"/>
                <w:sz w:val="20"/>
                <w:szCs w:val="20"/>
                <w:lang w:val="en-GB" w:eastAsia="ja-JP"/>
              </w:rPr>
            </w:pPr>
            <w:r w:rsidRPr="00BB4A45">
              <w:rPr>
                <w:rFonts w:ascii="Times New Roman" w:hAnsi="Times New Roman" w:hint="eastAsia"/>
                <w:sz w:val="20"/>
                <w:szCs w:val="20"/>
                <w:lang w:val="en-GB" w:eastAsia="ja-JP"/>
              </w:rPr>
              <w:t>Study the</w:t>
            </w:r>
            <w:r w:rsidRPr="00BB4A45">
              <w:rPr>
                <w:rFonts w:ascii="Times New Roman" w:hAnsi="Times New Roman"/>
                <w:sz w:val="20"/>
                <w:szCs w:val="20"/>
                <w:lang w:val="en-GB" w:eastAsia="ja-JP"/>
              </w:rPr>
              <w:t xml:space="preserve"> feasibility and gain of </w:t>
            </w:r>
            <w:r w:rsidRPr="00BB4A45">
              <w:rPr>
                <w:rFonts w:ascii="Times New Roman" w:hAnsi="Times New Roman" w:hint="eastAsia"/>
                <w:sz w:val="20"/>
                <w:szCs w:val="20"/>
                <w:lang w:val="en-GB" w:eastAsia="ja-JP"/>
              </w:rPr>
              <w:t>PC5 operation with Transmit</w:t>
            </w:r>
            <w:r w:rsidRPr="00BB4A45">
              <w:rPr>
                <w:rFonts w:ascii="Times New Roman" w:hAnsi="Times New Roman"/>
                <w:sz w:val="20"/>
                <w:szCs w:val="20"/>
                <w:lang w:val="en-GB" w:eastAsia="ja-JP"/>
              </w:rPr>
              <w:t xml:space="preserve"> </w:t>
            </w:r>
            <w:r w:rsidRPr="00BB4A45">
              <w:rPr>
                <w:rFonts w:ascii="Times New Roman" w:hAnsi="Times New Roman" w:hint="eastAsia"/>
                <w:sz w:val="20"/>
                <w:szCs w:val="20"/>
                <w:lang w:val="en-GB" w:eastAsia="ja-JP"/>
              </w:rPr>
              <w:t>D</w:t>
            </w:r>
            <w:r w:rsidRPr="00BB4A45">
              <w:rPr>
                <w:rFonts w:ascii="Times New Roman" w:hAnsi="Times New Roman"/>
                <w:sz w:val="20"/>
                <w:szCs w:val="20"/>
                <w:lang w:val="en-GB" w:eastAsia="ja-JP"/>
              </w:rPr>
              <w:t>iversity</w:t>
            </w:r>
            <w:r w:rsidRPr="00BB4A45">
              <w:rPr>
                <w:rFonts w:ascii="Times New Roman" w:hAnsi="Times New Roman" w:hint="eastAsia"/>
                <w:sz w:val="20"/>
                <w:szCs w:val="20"/>
                <w:lang w:val="en-GB" w:eastAsia="ja-JP"/>
              </w:rPr>
              <w:t>,</w:t>
            </w:r>
            <w:r w:rsidRPr="00BB4A45">
              <w:rPr>
                <w:rFonts w:ascii="Times New Roman" w:hAnsi="Times New Roman"/>
                <w:sz w:val="20"/>
                <w:szCs w:val="20"/>
                <w:lang w:val="en-GB" w:eastAsia="ja-JP"/>
              </w:rPr>
              <w:t xml:space="preserve"> assuming </w:t>
            </w:r>
            <w:r w:rsidRPr="00BB4A45">
              <w:rPr>
                <w:rFonts w:ascii="Times New Roman" w:hAnsi="Times New Roman" w:hint="eastAsia"/>
                <w:sz w:val="20"/>
                <w:szCs w:val="20"/>
                <w:lang w:val="en-GB" w:eastAsia="ja-JP"/>
              </w:rPr>
              <w:t xml:space="preserve">this </w:t>
            </w:r>
            <w:r w:rsidRPr="00BB4A45">
              <w:rPr>
                <w:rFonts w:ascii="Times New Roman" w:hAnsi="Times New Roman"/>
                <w:sz w:val="20"/>
                <w:szCs w:val="20"/>
                <w:lang w:val="en-GB" w:eastAsia="ja-JP"/>
              </w:rPr>
              <w:t>PC5 functionalit</w:t>
            </w:r>
            <w:r w:rsidRPr="00BB4A45">
              <w:rPr>
                <w:rFonts w:ascii="Times New Roman" w:hAnsi="Times New Roman" w:hint="eastAsia"/>
                <w:sz w:val="20"/>
                <w:szCs w:val="20"/>
                <w:lang w:val="en-GB" w:eastAsia="ja-JP"/>
              </w:rPr>
              <w:t>y</w:t>
            </w:r>
            <w:r w:rsidRPr="00BB4A45">
              <w:rPr>
                <w:rFonts w:ascii="Times New Roman" w:hAnsi="Times New Roman"/>
                <w:sz w:val="20"/>
                <w:szCs w:val="20"/>
                <w:lang w:val="en-GB" w:eastAsia="ja-JP"/>
              </w:rPr>
              <w:t xml:space="preserve"> would co-exist in the same resource pools as Rel-14 functionality</w:t>
            </w:r>
            <w:r w:rsidRPr="00BB4A45">
              <w:rPr>
                <w:rFonts w:ascii="Times New Roman" w:hAnsi="Times New Roman" w:hint="eastAsia"/>
                <w:sz w:val="20"/>
                <w:szCs w:val="20"/>
                <w:lang w:val="en-GB" w:eastAsia="ja-JP"/>
              </w:rPr>
              <w:t xml:space="preserve"> and </w:t>
            </w:r>
            <w:r w:rsidRPr="00BB4A45">
              <w:rPr>
                <w:rFonts w:ascii="Times New Roman" w:hAnsi="Times New Roman"/>
                <w:sz w:val="20"/>
                <w:szCs w:val="20"/>
                <w:lang w:val="en-GB" w:eastAsia="ja-JP"/>
              </w:rPr>
              <w:t>us</w:t>
            </w:r>
            <w:r w:rsidRPr="00BB4A45">
              <w:rPr>
                <w:rFonts w:ascii="Times New Roman" w:hAnsi="Times New Roman" w:hint="eastAsia"/>
                <w:sz w:val="20"/>
                <w:szCs w:val="20"/>
                <w:lang w:val="en-GB" w:eastAsia="ja-JP"/>
              </w:rPr>
              <w:t>e</w:t>
            </w:r>
            <w:r w:rsidRPr="00BB4A45">
              <w:rPr>
                <w:rFonts w:ascii="Times New Roman" w:hAnsi="Times New Roman"/>
                <w:sz w:val="20"/>
                <w:szCs w:val="20"/>
                <w:lang w:val="en-GB" w:eastAsia="ja-JP"/>
              </w:rPr>
              <w:t xml:space="preserve"> the same scheduling assignment format</w:t>
            </w:r>
            <w:r w:rsidRPr="00BB4A45">
              <w:rPr>
                <w:rFonts w:ascii="Times New Roman" w:hAnsi="Times New Roman" w:hint="eastAsia"/>
                <w:sz w:val="20"/>
                <w:szCs w:val="20"/>
                <w:lang w:val="en-GB" w:eastAsia="ja-JP"/>
              </w:rPr>
              <w:t xml:space="preserve"> (</w:t>
            </w:r>
            <w:r w:rsidRPr="00BB4A45">
              <w:rPr>
                <w:rFonts w:ascii="Times New Roman" w:hAnsi="Times New Roman"/>
                <w:sz w:val="20"/>
                <w:szCs w:val="20"/>
                <w:lang w:val="en-GB" w:eastAsia="ja-JP"/>
              </w:rPr>
              <w:t>which can be decoded by Rel-14 UEs</w:t>
            </w:r>
            <w:r w:rsidRPr="00BB4A45">
              <w:rPr>
                <w:rFonts w:ascii="Times New Roman" w:hAnsi="Times New Roman" w:hint="eastAsia"/>
                <w:sz w:val="20"/>
                <w:szCs w:val="20"/>
                <w:lang w:val="en-GB" w:eastAsia="ja-JP"/>
              </w:rPr>
              <w:t xml:space="preserve">), </w:t>
            </w:r>
            <w:r w:rsidRPr="00BB4A45">
              <w:rPr>
                <w:rFonts w:ascii="Times New Roman" w:hAnsi="Times New Roman"/>
                <w:sz w:val="20"/>
                <w:szCs w:val="20"/>
                <w:lang w:val="en-GB" w:eastAsia="ja-JP"/>
              </w:rPr>
              <w:t>without causing significant degradation to Rel-14 PC5 operation</w:t>
            </w:r>
            <w:r w:rsidRPr="00BB4A45">
              <w:rPr>
                <w:rFonts w:ascii="Times New Roman" w:hAnsi="Times New Roman" w:hint="eastAsia"/>
                <w:sz w:val="20"/>
                <w:szCs w:val="20"/>
                <w:lang w:val="en-GB" w:eastAsia="ja-JP"/>
              </w:rPr>
              <w:t xml:space="preserve"> compared to that of Rel-14 UEs, and specify this </w:t>
            </w:r>
            <w:r w:rsidRPr="00BB4A45">
              <w:rPr>
                <w:rFonts w:ascii="Times New Roman" w:hAnsi="Times New Roman"/>
                <w:sz w:val="20"/>
                <w:szCs w:val="20"/>
                <w:lang w:val="en-GB" w:eastAsia="ja-JP"/>
              </w:rPr>
              <w:t>PC5 functionalit</w:t>
            </w:r>
            <w:r w:rsidRPr="00BB4A45">
              <w:rPr>
                <w:rFonts w:ascii="Times New Roman" w:hAnsi="Times New Roman" w:hint="eastAsia"/>
                <w:sz w:val="20"/>
                <w:szCs w:val="20"/>
                <w:lang w:val="en-GB" w:eastAsia="ja-JP"/>
              </w:rPr>
              <w:t>y if justified. [</w:t>
            </w:r>
            <w:r w:rsidRPr="00BB4A45">
              <w:rPr>
                <w:rFonts w:ascii="Times New Roman" w:hAnsi="Times New Roman"/>
                <w:sz w:val="20"/>
                <w:szCs w:val="20"/>
                <w:lang w:val="en-GB" w:eastAsia="ja-JP"/>
              </w:rPr>
              <w:t>RAN</w:t>
            </w:r>
            <w:r w:rsidRPr="00BB4A45">
              <w:rPr>
                <w:rFonts w:ascii="Times New Roman" w:hAnsi="Times New Roman" w:hint="eastAsia"/>
                <w:sz w:val="20"/>
                <w:szCs w:val="20"/>
                <w:lang w:val="en-GB" w:eastAsia="ja-JP"/>
              </w:rPr>
              <w:t>1</w:t>
            </w:r>
            <w:r w:rsidRPr="00BB4A45">
              <w:rPr>
                <w:rFonts w:ascii="Times New Roman" w:hAnsi="Times New Roman"/>
                <w:sz w:val="20"/>
                <w:szCs w:val="20"/>
                <w:lang w:val="en-GB" w:eastAsia="ja-JP"/>
              </w:rPr>
              <w:t>, RAN</w:t>
            </w:r>
            <w:r w:rsidRPr="00BB4A45">
              <w:rPr>
                <w:rFonts w:ascii="Times New Roman" w:hAnsi="Times New Roman" w:hint="eastAsia"/>
                <w:sz w:val="20"/>
                <w:szCs w:val="20"/>
                <w:lang w:val="en-GB" w:eastAsia="ja-JP"/>
              </w:rPr>
              <w:t>2</w:t>
            </w:r>
            <w:r w:rsidRPr="00BB4A45">
              <w:rPr>
                <w:rFonts w:ascii="Times New Roman" w:hAnsi="Times New Roman"/>
                <w:sz w:val="20"/>
                <w:szCs w:val="20"/>
                <w:lang w:val="en-GB" w:eastAsia="ja-JP"/>
              </w:rPr>
              <w:t xml:space="preserve">, </w:t>
            </w:r>
            <w:r w:rsidRPr="00BB4A45">
              <w:rPr>
                <w:rFonts w:ascii="Times New Roman" w:hAnsi="Times New Roman" w:hint="eastAsia"/>
                <w:sz w:val="20"/>
                <w:szCs w:val="20"/>
                <w:lang w:val="en-GB" w:eastAsia="ja-JP"/>
              </w:rPr>
              <w:t>RAN4]</w:t>
            </w:r>
            <w:r w:rsidRPr="00BB4A45">
              <w:rPr>
                <w:rFonts w:ascii="Times New Roman" w:hAnsi="Times New Roman"/>
                <w:sz w:val="20"/>
                <w:szCs w:val="20"/>
                <w:lang w:val="en-GB" w:eastAsia="ja-JP"/>
              </w:rPr>
              <w:t>.</w:t>
            </w:r>
          </w:p>
          <w:p w14:paraId="60EF47BD" w14:textId="77777777" w:rsidR="00AF256D" w:rsidRDefault="00BB4A45" w:rsidP="00BB4A45">
            <w:pPr>
              <w:spacing w:after="0" w:line="240" w:lineRule="auto"/>
              <w:textAlignment w:val="center"/>
              <w:rPr>
                <w:rFonts w:ascii="Times New Roman" w:hAnsi="Times New Roman"/>
                <w:sz w:val="20"/>
                <w:szCs w:val="20"/>
                <w:lang w:eastAsia="ja-JP"/>
              </w:rPr>
            </w:pPr>
            <w:r w:rsidRPr="00BB4A45">
              <w:rPr>
                <w:rFonts w:ascii="Times New Roman" w:hAnsi="Times New Roman" w:hint="eastAsia"/>
                <w:sz w:val="20"/>
                <w:szCs w:val="20"/>
                <w:lang w:val="en-GB" w:eastAsia="ja-JP"/>
              </w:rPr>
              <w:t>Study the</w:t>
            </w:r>
            <w:r w:rsidRPr="00BB4A45">
              <w:rPr>
                <w:rFonts w:ascii="Times New Roman" w:hAnsi="Times New Roman"/>
                <w:sz w:val="20"/>
                <w:szCs w:val="20"/>
                <w:lang w:val="en-GB" w:eastAsia="ja-JP"/>
              </w:rPr>
              <w:t xml:space="preserve"> feasibility and gain of </w:t>
            </w:r>
            <w:r w:rsidRPr="00BB4A45">
              <w:rPr>
                <w:rFonts w:ascii="Times New Roman" w:hAnsi="Times New Roman" w:hint="eastAsia"/>
                <w:sz w:val="20"/>
                <w:szCs w:val="20"/>
                <w:lang w:val="en-GB" w:eastAsia="ja-JP"/>
              </w:rPr>
              <w:t>PC5 operation with S</w:t>
            </w:r>
            <w:r w:rsidRPr="00BB4A45">
              <w:rPr>
                <w:rFonts w:ascii="Times New Roman" w:hAnsi="Times New Roman"/>
                <w:sz w:val="20"/>
                <w:szCs w:val="20"/>
                <w:lang w:val="en-GB" w:eastAsia="ja-JP"/>
              </w:rPr>
              <w:t>hort TTI</w:t>
            </w:r>
            <w:r w:rsidRPr="00BB4A45">
              <w:rPr>
                <w:rFonts w:ascii="Times New Roman" w:hAnsi="Times New Roman" w:hint="eastAsia"/>
                <w:sz w:val="20"/>
                <w:szCs w:val="20"/>
                <w:lang w:val="en-GB" w:eastAsia="ja-JP"/>
              </w:rPr>
              <w:t>,</w:t>
            </w:r>
            <w:r w:rsidRPr="00BB4A45">
              <w:rPr>
                <w:rFonts w:ascii="Times New Roman" w:hAnsi="Times New Roman"/>
                <w:sz w:val="20"/>
                <w:szCs w:val="20"/>
                <w:lang w:val="en-GB" w:eastAsia="ja-JP"/>
              </w:rPr>
              <w:t xml:space="preserve"> assuming </w:t>
            </w:r>
            <w:r w:rsidRPr="00BB4A45">
              <w:rPr>
                <w:rFonts w:ascii="Times New Roman" w:hAnsi="Times New Roman" w:hint="eastAsia"/>
                <w:sz w:val="20"/>
                <w:szCs w:val="20"/>
                <w:lang w:val="en-GB" w:eastAsia="ja-JP"/>
              </w:rPr>
              <w:t xml:space="preserve">this </w:t>
            </w:r>
            <w:r w:rsidRPr="00BB4A45">
              <w:rPr>
                <w:rFonts w:ascii="Times New Roman" w:hAnsi="Times New Roman"/>
                <w:sz w:val="20"/>
                <w:szCs w:val="20"/>
                <w:lang w:val="en-GB" w:eastAsia="ja-JP"/>
              </w:rPr>
              <w:t>PC5 functionalit</w:t>
            </w:r>
            <w:r w:rsidRPr="00BB4A45">
              <w:rPr>
                <w:rFonts w:ascii="Times New Roman" w:hAnsi="Times New Roman" w:hint="eastAsia"/>
                <w:sz w:val="20"/>
                <w:szCs w:val="20"/>
                <w:lang w:val="en-GB" w:eastAsia="ja-JP"/>
              </w:rPr>
              <w:t>y</w:t>
            </w:r>
            <w:r w:rsidRPr="00BB4A45">
              <w:rPr>
                <w:rFonts w:ascii="Times New Roman" w:hAnsi="Times New Roman"/>
                <w:sz w:val="20"/>
                <w:szCs w:val="20"/>
                <w:lang w:val="en-GB" w:eastAsia="ja-JP"/>
              </w:rPr>
              <w:t xml:space="preserve"> would co-exist in the same resource pools as Rel-14 functionality</w:t>
            </w:r>
            <w:r w:rsidRPr="00BB4A45">
              <w:rPr>
                <w:rFonts w:ascii="Times New Roman" w:hAnsi="Times New Roman" w:hint="eastAsia"/>
                <w:sz w:val="20"/>
                <w:szCs w:val="20"/>
                <w:lang w:val="en-GB" w:eastAsia="ja-JP"/>
              </w:rPr>
              <w:t xml:space="preserve"> with and without </w:t>
            </w:r>
            <w:r w:rsidRPr="00BB4A45">
              <w:rPr>
                <w:rFonts w:ascii="Times New Roman" w:hAnsi="Times New Roman"/>
                <w:sz w:val="20"/>
                <w:szCs w:val="20"/>
                <w:lang w:val="en-GB" w:eastAsia="ja-JP"/>
              </w:rPr>
              <w:t>us</w:t>
            </w:r>
            <w:r w:rsidRPr="00BB4A45">
              <w:rPr>
                <w:rFonts w:ascii="Times New Roman" w:hAnsi="Times New Roman" w:hint="eastAsia"/>
                <w:sz w:val="20"/>
                <w:szCs w:val="20"/>
                <w:lang w:val="en-GB" w:eastAsia="ja-JP"/>
              </w:rPr>
              <w:t>ing</w:t>
            </w:r>
            <w:r w:rsidRPr="00BB4A45">
              <w:rPr>
                <w:rFonts w:ascii="Times New Roman" w:hAnsi="Times New Roman"/>
                <w:sz w:val="20"/>
                <w:szCs w:val="20"/>
                <w:lang w:val="en-GB" w:eastAsia="ja-JP"/>
              </w:rPr>
              <w:t xml:space="preserve"> the same scheduling assignment format</w:t>
            </w:r>
            <w:r w:rsidRPr="00BB4A45">
              <w:rPr>
                <w:rFonts w:ascii="Times New Roman" w:hAnsi="Times New Roman" w:hint="eastAsia"/>
                <w:sz w:val="20"/>
                <w:szCs w:val="20"/>
                <w:lang w:val="en-GB" w:eastAsia="ja-JP"/>
              </w:rPr>
              <w:t>, and provide RAN1 observations and recommendations to RAN by RAN#77. [</w:t>
            </w:r>
            <w:r w:rsidRPr="00BB4A45">
              <w:rPr>
                <w:rFonts w:ascii="Times New Roman" w:hAnsi="Times New Roman"/>
                <w:sz w:val="20"/>
                <w:szCs w:val="20"/>
                <w:lang w:val="en-GB" w:eastAsia="ja-JP"/>
              </w:rPr>
              <w:t>RAN</w:t>
            </w:r>
            <w:r w:rsidRPr="00BB4A45">
              <w:rPr>
                <w:rFonts w:ascii="Times New Roman" w:hAnsi="Times New Roman" w:hint="eastAsia"/>
                <w:sz w:val="20"/>
                <w:szCs w:val="20"/>
                <w:lang w:val="en-GB" w:eastAsia="ja-JP"/>
              </w:rPr>
              <w:t xml:space="preserve">1, </w:t>
            </w:r>
            <w:r w:rsidRPr="00BB4A45">
              <w:rPr>
                <w:rFonts w:ascii="Times New Roman" w:hAnsi="Times New Roman"/>
                <w:sz w:val="20"/>
                <w:szCs w:val="20"/>
                <w:lang w:val="en-GB" w:eastAsia="ja-JP"/>
              </w:rPr>
              <w:t>RAN</w:t>
            </w:r>
            <w:r w:rsidRPr="00BB4A45">
              <w:rPr>
                <w:rFonts w:ascii="Times New Roman" w:hAnsi="Times New Roman" w:hint="eastAsia"/>
                <w:sz w:val="20"/>
                <w:szCs w:val="20"/>
                <w:lang w:val="en-GB" w:eastAsia="ja-JP"/>
              </w:rPr>
              <w:t>2]</w:t>
            </w:r>
          </w:p>
        </w:tc>
      </w:tr>
    </w:tbl>
    <w:p w14:paraId="60EF47BF" w14:textId="77777777" w:rsidR="00AF256D" w:rsidRDefault="00AF256D" w:rsidP="001C137C">
      <w:pPr>
        <w:overflowPunct w:val="0"/>
        <w:autoSpaceDE w:val="0"/>
        <w:autoSpaceDN w:val="0"/>
        <w:adjustRightInd w:val="0"/>
        <w:spacing w:after="180" w:line="240" w:lineRule="auto"/>
        <w:textAlignment w:val="baseline"/>
        <w:rPr>
          <w:rFonts w:ascii="Times New Roman" w:hAnsi="Times New Roman"/>
          <w:sz w:val="20"/>
          <w:szCs w:val="20"/>
          <w:lang w:eastAsia="ja-JP"/>
        </w:rPr>
      </w:pPr>
    </w:p>
    <w:p w14:paraId="60EF47C0" w14:textId="77777777" w:rsidR="001C137C" w:rsidRPr="001C137C" w:rsidRDefault="00BB4A45" w:rsidP="001C137C">
      <w:pPr>
        <w:overflowPunct w:val="0"/>
        <w:autoSpaceDE w:val="0"/>
        <w:autoSpaceDN w:val="0"/>
        <w:adjustRightInd w:val="0"/>
        <w:spacing w:after="180" w:line="240" w:lineRule="auto"/>
        <w:textAlignment w:val="baseline"/>
        <w:rPr>
          <w:rFonts w:ascii="Times New Roman" w:hAnsi="Times New Roman"/>
          <w:sz w:val="20"/>
          <w:szCs w:val="20"/>
          <w:lang w:eastAsia="ja-JP"/>
        </w:rPr>
      </w:pPr>
      <w:r>
        <w:rPr>
          <w:rFonts w:ascii="Times New Roman" w:hAnsi="Times New Roman"/>
          <w:sz w:val="20"/>
          <w:szCs w:val="20"/>
          <w:lang w:eastAsia="ja-JP"/>
        </w:rPr>
        <w:t>In this contribution, we consider the objective of supporting carrier aggregation over PC5, focus</w:t>
      </w:r>
      <w:r w:rsidR="00A1125D">
        <w:rPr>
          <w:rFonts w:ascii="Times New Roman" w:hAnsi="Times New Roman"/>
          <w:sz w:val="20"/>
          <w:szCs w:val="20"/>
          <w:lang w:eastAsia="ja-JP"/>
        </w:rPr>
        <w:t>ing on high level aspects from</w:t>
      </w:r>
      <w:r>
        <w:rPr>
          <w:rFonts w:ascii="Times New Roman" w:hAnsi="Times New Roman"/>
          <w:sz w:val="20"/>
          <w:szCs w:val="20"/>
          <w:lang w:eastAsia="ja-JP"/>
        </w:rPr>
        <w:t xml:space="preserve"> RAN2</w:t>
      </w:r>
      <w:r w:rsidR="00A1125D">
        <w:rPr>
          <w:rFonts w:ascii="Times New Roman" w:hAnsi="Times New Roman"/>
          <w:sz w:val="20"/>
          <w:szCs w:val="20"/>
          <w:lang w:eastAsia="ja-JP"/>
        </w:rPr>
        <w:t>’s</w:t>
      </w:r>
      <w:r>
        <w:rPr>
          <w:rFonts w:ascii="Times New Roman" w:hAnsi="Times New Roman"/>
          <w:sz w:val="20"/>
          <w:szCs w:val="20"/>
          <w:lang w:eastAsia="ja-JP"/>
        </w:rPr>
        <w:t xml:space="preserve"> point of view.</w:t>
      </w:r>
    </w:p>
    <w:p w14:paraId="60EF47C1" w14:textId="77777777" w:rsidR="001C137C" w:rsidRDefault="006242D5" w:rsidP="00DA3465">
      <w:pPr>
        <w:pStyle w:val="Tdoc"/>
        <w:ind w:left="0" w:firstLine="0"/>
      </w:pPr>
      <w:r>
        <w:t>Discussion</w:t>
      </w:r>
    </w:p>
    <w:p w14:paraId="60EF47C2" w14:textId="77777777" w:rsidR="00BB4A45" w:rsidRDefault="00BB4A45" w:rsidP="00BB4A45">
      <w:pPr>
        <w:rPr>
          <w:rFonts w:ascii="Times New Roman" w:hAnsi="Times New Roman"/>
          <w:sz w:val="20"/>
        </w:rPr>
      </w:pPr>
      <w:r w:rsidRPr="00BB4A45">
        <w:rPr>
          <w:rFonts w:ascii="Times New Roman" w:hAnsi="Times New Roman"/>
          <w:sz w:val="20"/>
        </w:rPr>
        <w:t xml:space="preserve">Carrier aggregation </w:t>
      </w:r>
      <w:r>
        <w:rPr>
          <w:rFonts w:ascii="Times New Roman" w:hAnsi="Times New Roman"/>
          <w:sz w:val="20"/>
        </w:rPr>
        <w:t xml:space="preserve">was </w:t>
      </w:r>
      <w:r w:rsidR="00A1125D">
        <w:rPr>
          <w:rFonts w:ascii="Times New Roman" w:hAnsi="Times New Roman"/>
          <w:sz w:val="20"/>
        </w:rPr>
        <w:t>introduced</w:t>
      </w:r>
      <w:r w:rsidR="0019188A">
        <w:rPr>
          <w:rFonts w:ascii="Times New Roman" w:hAnsi="Times New Roman"/>
          <w:sz w:val="20"/>
        </w:rPr>
        <w:t xml:space="preserve"> in LTE Rel-10</w:t>
      </w:r>
      <w:r>
        <w:rPr>
          <w:rFonts w:ascii="Times New Roman" w:hAnsi="Times New Roman"/>
          <w:sz w:val="20"/>
        </w:rPr>
        <w:t xml:space="preserve"> for UL/DL operation, with the aim of allowing </w:t>
      </w:r>
      <w:r w:rsidR="0019188A">
        <w:rPr>
          <w:rFonts w:ascii="Times New Roman" w:hAnsi="Times New Roman"/>
          <w:sz w:val="20"/>
        </w:rPr>
        <w:t>the network</w:t>
      </w:r>
      <w:r>
        <w:rPr>
          <w:rFonts w:ascii="Times New Roman" w:hAnsi="Times New Roman"/>
          <w:sz w:val="20"/>
        </w:rPr>
        <w:t xml:space="preserve"> to configure multiple component carriers (CCs) to support </w:t>
      </w:r>
      <w:r w:rsidR="0019188A">
        <w:rPr>
          <w:rFonts w:ascii="Times New Roman" w:hAnsi="Times New Roman"/>
          <w:sz w:val="20"/>
        </w:rPr>
        <w:t xml:space="preserve">higher data rates and </w:t>
      </w:r>
      <w:r>
        <w:rPr>
          <w:rFonts w:ascii="Times New Roman" w:hAnsi="Times New Roman"/>
          <w:sz w:val="20"/>
        </w:rPr>
        <w:t xml:space="preserve">efficient spectrum utilization. For V2X operation, the situation is somewhat similar, with different frequency bands being configured for PS and non-PS related services </w:t>
      </w:r>
      <w:r w:rsidR="00C0320F">
        <w:rPr>
          <w:rFonts w:ascii="Times New Roman" w:hAnsi="Times New Roman"/>
          <w:sz w:val="20"/>
        </w:rPr>
        <w:t xml:space="preserve">in a region specific manner. In addition to flexible spectrum utilization, specifically for V2X, carrier aggregation </w:t>
      </w:r>
      <w:r w:rsidR="0019188A">
        <w:rPr>
          <w:rFonts w:ascii="Times New Roman" w:hAnsi="Times New Roman"/>
          <w:sz w:val="20"/>
        </w:rPr>
        <w:t xml:space="preserve">over sidelink </w:t>
      </w:r>
      <w:r w:rsidR="00C0320F">
        <w:rPr>
          <w:rFonts w:ascii="Times New Roman" w:hAnsi="Times New Roman"/>
          <w:sz w:val="20"/>
        </w:rPr>
        <w:t xml:space="preserve">would allow handling of larger packets as outlined in the use case requirement by SA1 in </w:t>
      </w:r>
      <w:sdt>
        <w:sdtPr>
          <w:rPr>
            <w:rFonts w:ascii="Times New Roman" w:hAnsi="Times New Roman"/>
            <w:sz w:val="20"/>
          </w:rPr>
          <w:id w:val="-1370452064"/>
          <w:citation/>
        </w:sdtPr>
        <w:sdtEndPr/>
        <w:sdtContent>
          <w:r w:rsidR="00E70758">
            <w:rPr>
              <w:rFonts w:ascii="Times New Roman" w:hAnsi="Times New Roman"/>
              <w:sz w:val="20"/>
            </w:rPr>
            <w:fldChar w:fldCharType="begin"/>
          </w:r>
          <w:r w:rsidR="00E70758">
            <w:rPr>
              <w:rFonts w:ascii="Times New Roman" w:hAnsi="Times New Roman"/>
              <w:sz w:val="20"/>
            </w:rPr>
            <w:instrText xml:space="preserve"> CITATION TR22886 \l 1033 </w:instrText>
          </w:r>
          <w:r w:rsidR="00E70758">
            <w:rPr>
              <w:rFonts w:ascii="Times New Roman" w:hAnsi="Times New Roman"/>
              <w:sz w:val="20"/>
            </w:rPr>
            <w:fldChar w:fldCharType="separate"/>
          </w:r>
          <w:r w:rsidR="00E70758" w:rsidRPr="00E70758">
            <w:rPr>
              <w:rFonts w:ascii="Times New Roman" w:hAnsi="Times New Roman"/>
              <w:noProof/>
              <w:sz w:val="20"/>
            </w:rPr>
            <w:t>[1]</w:t>
          </w:r>
          <w:r w:rsidR="00E70758">
            <w:rPr>
              <w:rFonts w:ascii="Times New Roman" w:hAnsi="Times New Roman"/>
              <w:sz w:val="20"/>
            </w:rPr>
            <w:fldChar w:fldCharType="end"/>
          </w:r>
        </w:sdtContent>
      </w:sdt>
      <w:r w:rsidR="00C0320F">
        <w:rPr>
          <w:rFonts w:ascii="Times New Roman" w:hAnsi="Times New Roman"/>
          <w:sz w:val="20"/>
        </w:rPr>
        <w:t>.</w:t>
      </w:r>
      <w:r w:rsidR="00A1125D">
        <w:rPr>
          <w:rFonts w:ascii="Times New Roman" w:hAnsi="Times New Roman"/>
          <w:sz w:val="20"/>
        </w:rPr>
        <w:t xml:space="preserve"> </w:t>
      </w:r>
    </w:p>
    <w:p w14:paraId="00C8D9F1" w14:textId="00C78245" w:rsidR="0083198E" w:rsidRDefault="00392D6E" w:rsidP="006F53D1">
      <w:pPr>
        <w:rPr>
          <w:rFonts w:ascii="Times New Roman" w:hAnsi="Times New Roman"/>
          <w:sz w:val="20"/>
        </w:rPr>
      </w:pPr>
      <w:r>
        <w:rPr>
          <w:rFonts w:ascii="Times New Roman" w:hAnsi="Times New Roman"/>
          <w:sz w:val="20"/>
        </w:rPr>
        <w:t xml:space="preserve">In our view, carrier aggregation for LTE in UL/DL should be used as baseline when </w:t>
      </w:r>
      <w:r w:rsidR="0019188A">
        <w:rPr>
          <w:rFonts w:ascii="Times New Roman" w:hAnsi="Times New Roman"/>
          <w:sz w:val="20"/>
        </w:rPr>
        <w:t>considering</w:t>
      </w:r>
      <w:r>
        <w:rPr>
          <w:rFonts w:ascii="Times New Roman" w:hAnsi="Times New Roman"/>
          <w:sz w:val="20"/>
        </w:rPr>
        <w:t xml:space="preserve"> carrier aggregation over sidelink. Therefore, similar to LTE CA operation, a V-UE performing V2X communication over sidelink can be configured </w:t>
      </w:r>
      <w:r w:rsidR="00C0320F">
        <w:rPr>
          <w:rFonts w:ascii="Times New Roman" w:hAnsi="Times New Roman"/>
          <w:sz w:val="20"/>
        </w:rPr>
        <w:t xml:space="preserve">(depending on UE capability) </w:t>
      </w:r>
      <w:r>
        <w:rPr>
          <w:rFonts w:ascii="Times New Roman" w:hAnsi="Times New Roman"/>
          <w:sz w:val="20"/>
        </w:rPr>
        <w:t xml:space="preserve">to use multiple component carriers </w:t>
      </w:r>
      <w:r w:rsidR="00C0320F">
        <w:rPr>
          <w:rFonts w:ascii="Times New Roman" w:hAnsi="Times New Roman"/>
          <w:sz w:val="20"/>
        </w:rPr>
        <w:t xml:space="preserve">for transmission and reception in PC5. </w:t>
      </w:r>
      <w:r>
        <w:rPr>
          <w:rFonts w:ascii="Times New Roman" w:hAnsi="Times New Roman"/>
          <w:sz w:val="20"/>
        </w:rPr>
        <w:t>In addition, any specific aspects unique to sidelink operation should be individually discussed.</w:t>
      </w:r>
      <w:r w:rsidR="00C0320F">
        <w:rPr>
          <w:rFonts w:ascii="Times New Roman" w:hAnsi="Times New Roman"/>
          <w:sz w:val="20"/>
        </w:rPr>
        <w:t xml:space="preserve"> For instance, Rel-14 V2V </w:t>
      </w:r>
      <w:r w:rsidR="00323003">
        <w:rPr>
          <w:rFonts w:ascii="Times New Roman" w:hAnsi="Times New Roman"/>
          <w:sz w:val="20"/>
        </w:rPr>
        <w:t xml:space="preserve">UEs </w:t>
      </w:r>
      <w:r w:rsidR="0019188A">
        <w:rPr>
          <w:rFonts w:ascii="Times New Roman" w:hAnsi="Times New Roman"/>
          <w:sz w:val="20"/>
        </w:rPr>
        <w:t>support</w:t>
      </w:r>
      <w:r w:rsidR="00C0320F">
        <w:rPr>
          <w:rFonts w:ascii="Times New Roman" w:hAnsi="Times New Roman"/>
          <w:sz w:val="20"/>
        </w:rPr>
        <w:t xml:space="preserve"> b</w:t>
      </w:r>
      <w:r w:rsidR="00323003">
        <w:rPr>
          <w:rFonts w:ascii="Times New Roman" w:hAnsi="Times New Roman"/>
          <w:sz w:val="20"/>
        </w:rPr>
        <w:t xml:space="preserve">oth mode 3 and mode 4 operation. Therefore, the question arises as to whether one or both of these modes of operation would </w:t>
      </w:r>
      <w:r w:rsidR="0019188A">
        <w:rPr>
          <w:rFonts w:ascii="Times New Roman" w:hAnsi="Times New Roman"/>
          <w:sz w:val="20"/>
        </w:rPr>
        <w:t>be applicable for</w:t>
      </w:r>
      <w:r w:rsidR="00323003">
        <w:rPr>
          <w:rFonts w:ascii="Times New Roman" w:hAnsi="Times New Roman"/>
          <w:sz w:val="20"/>
        </w:rPr>
        <w:t xml:space="preserve"> carrier aggregation. Another related asp</w:t>
      </w:r>
      <w:r w:rsidR="00154E29">
        <w:rPr>
          <w:rFonts w:ascii="Times New Roman" w:hAnsi="Times New Roman"/>
          <w:sz w:val="20"/>
        </w:rPr>
        <w:t>ect is support of</w:t>
      </w:r>
      <w:r w:rsidR="00323003">
        <w:rPr>
          <w:rFonts w:ascii="Times New Roman" w:hAnsi="Times New Roman"/>
          <w:sz w:val="20"/>
        </w:rPr>
        <w:t xml:space="preserve"> cross-scheduling </w:t>
      </w:r>
      <w:r w:rsidR="00154E29">
        <w:rPr>
          <w:rFonts w:ascii="Times New Roman" w:hAnsi="Times New Roman"/>
          <w:sz w:val="20"/>
        </w:rPr>
        <w:t xml:space="preserve">across </w:t>
      </w:r>
      <w:r w:rsidR="00323003">
        <w:rPr>
          <w:rFonts w:ascii="Times New Roman" w:hAnsi="Times New Roman"/>
          <w:sz w:val="20"/>
        </w:rPr>
        <w:t xml:space="preserve">component carriers. </w:t>
      </w:r>
      <w:r w:rsidR="00344D3D">
        <w:rPr>
          <w:rFonts w:ascii="Times New Roman" w:hAnsi="Times New Roman"/>
          <w:sz w:val="20"/>
        </w:rPr>
        <w:t>Moreover, UE capability aspects should also be considered</w:t>
      </w:r>
      <w:r w:rsidR="00912C36">
        <w:rPr>
          <w:rFonts w:ascii="Times New Roman" w:hAnsi="Times New Roman"/>
          <w:sz w:val="20"/>
        </w:rPr>
        <w:t xml:space="preserve">. </w:t>
      </w:r>
      <w:r w:rsidR="00912C36" w:rsidRPr="00912C36">
        <w:rPr>
          <w:rFonts w:ascii="Times New Roman" w:hAnsi="Times New Roman"/>
          <w:sz w:val="20"/>
        </w:rPr>
        <w:t>During L</w:t>
      </w:r>
      <w:r w:rsidR="00912C36">
        <w:rPr>
          <w:rFonts w:ascii="Times New Roman" w:hAnsi="Times New Roman"/>
          <w:sz w:val="20"/>
        </w:rPr>
        <w:t>TE r</w:t>
      </w:r>
      <w:r w:rsidR="00912C36" w:rsidRPr="00912C36">
        <w:rPr>
          <w:rFonts w:ascii="Times New Roman" w:hAnsi="Times New Roman"/>
          <w:sz w:val="20"/>
        </w:rPr>
        <w:t>egistration procedure, UE reports d</w:t>
      </w:r>
      <w:r w:rsidR="00912C36">
        <w:rPr>
          <w:rFonts w:ascii="Times New Roman" w:hAnsi="Times New Roman"/>
          <w:sz w:val="20"/>
        </w:rPr>
        <w:t>etailed carrier aggregation</w:t>
      </w:r>
      <w:r w:rsidR="00912C36" w:rsidRPr="00912C36">
        <w:rPr>
          <w:rFonts w:ascii="Times New Roman" w:hAnsi="Times New Roman"/>
          <w:sz w:val="20"/>
        </w:rPr>
        <w:t xml:space="preserve"> </w:t>
      </w:r>
      <w:r w:rsidR="00912C36">
        <w:rPr>
          <w:rFonts w:ascii="Times New Roman" w:hAnsi="Times New Roman"/>
          <w:sz w:val="20"/>
        </w:rPr>
        <w:t xml:space="preserve">capability to the network in </w:t>
      </w:r>
      <w:r w:rsidR="0083198E">
        <w:rPr>
          <w:rFonts w:ascii="Times New Roman" w:hAnsi="Times New Roman"/>
          <w:sz w:val="20"/>
        </w:rPr>
        <w:t xml:space="preserve">the </w:t>
      </w:r>
      <w:r w:rsidR="00912C36" w:rsidRPr="00DA3465">
        <w:rPr>
          <w:rFonts w:ascii="Times New Roman" w:hAnsi="Times New Roman"/>
          <w:i/>
          <w:sz w:val="20"/>
        </w:rPr>
        <w:t>UECapabilityInformation</w:t>
      </w:r>
      <w:r w:rsidR="00912C36" w:rsidRPr="00912C36">
        <w:rPr>
          <w:rFonts w:ascii="Times New Roman" w:hAnsi="Times New Roman"/>
          <w:sz w:val="20"/>
        </w:rPr>
        <w:t xml:space="preserve"> </w:t>
      </w:r>
      <w:r w:rsidR="00912C36">
        <w:rPr>
          <w:rFonts w:ascii="Times New Roman" w:hAnsi="Times New Roman"/>
          <w:sz w:val="20"/>
        </w:rPr>
        <w:t>m</w:t>
      </w:r>
      <w:r w:rsidR="00912C36" w:rsidRPr="00912C36">
        <w:rPr>
          <w:rFonts w:ascii="Times New Roman" w:hAnsi="Times New Roman"/>
          <w:sz w:val="20"/>
        </w:rPr>
        <w:t>essage</w:t>
      </w:r>
      <w:r w:rsidR="00912C36">
        <w:rPr>
          <w:rFonts w:ascii="Times New Roman" w:hAnsi="Times New Roman"/>
          <w:sz w:val="20"/>
        </w:rPr>
        <w:t xml:space="preserve">. So, the question arises whether a particular UE’s support of carrier aggregation over sidelink might depend on </w:t>
      </w:r>
      <w:r w:rsidR="003D76A8">
        <w:rPr>
          <w:rFonts w:ascii="Times New Roman" w:hAnsi="Times New Roman"/>
          <w:sz w:val="20"/>
        </w:rPr>
        <w:t xml:space="preserve">its </w:t>
      </w:r>
      <w:r w:rsidR="00912C36">
        <w:rPr>
          <w:rFonts w:ascii="Times New Roman" w:hAnsi="Times New Roman"/>
          <w:sz w:val="20"/>
        </w:rPr>
        <w:t>aggregation capabilities over DL/</w:t>
      </w:r>
      <w:r w:rsidR="004A4A78">
        <w:rPr>
          <w:rFonts w:ascii="Times New Roman" w:hAnsi="Times New Roman"/>
          <w:sz w:val="20"/>
        </w:rPr>
        <w:t>UL in some way and if so, should it be reported to the network</w:t>
      </w:r>
      <w:r w:rsidR="00912C36">
        <w:rPr>
          <w:rFonts w:ascii="Times New Roman" w:hAnsi="Times New Roman"/>
          <w:sz w:val="20"/>
        </w:rPr>
        <w:t xml:space="preserve">. </w:t>
      </w:r>
      <w:r w:rsidR="004A4A78">
        <w:rPr>
          <w:rFonts w:ascii="Times New Roman" w:hAnsi="Times New Roman"/>
          <w:sz w:val="20"/>
        </w:rPr>
        <w:t xml:space="preserve">Nevertheless, for V2X operation over sidelink, </w:t>
      </w:r>
      <w:r w:rsidR="0083198E">
        <w:rPr>
          <w:rFonts w:ascii="Times New Roman" w:hAnsi="Times New Roman"/>
          <w:sz w:val="20"/>
        </w:rPr>
        <w:t xml:space="preserve">one way of </w:t>
      </w:r>
      <w:r w:rsidR="004A4A78">
        <w:rPr>
          <w:rFonts w:ascii="Times New Roman" w:hAnsi="Times New Roman"/>
          <w:sz w:val="20"/>
        </w:rPr>
        <w:t xml:space="preserve">reporting this capability information among UEs </w:t>
      </w:r>
      <w:r w:rsidR="0083198E">
        <w:rPr>
          <w:rFonts w:ascii="Times New Roman" w:hAnsi="Times New Roman"/>
          <w:sz w:val="20"/>
        </w:rPr>
        <w:t>could be as</w:t>
      </w:r>
      <w:r w:rsidR="004A4A78">
        <w:rPr>
          <w:rFonts w:ascii="Times New Roman" w:hAnsi="Times New Roman"/>
          <w:sz w:val="20"/>
        </w:rPr>
        <w:t xml:space="preserve"> part</w:t>
      </w:r>
      <w:r w:rsidR="00912C36">
        <w:rPr>
          <w:rFonts w:ascii="Times New Roman" w:hAnsi="Times New Roman"/>
          <w:sz w:val="20"/>
        </w:rPr>
        <w:t xml:space="preserve"> of the discovery procedure.</w:t>
      </w:r>
      <w:r w:rsidR="004A4A78" w:rsidDel="004A4A78">
        <w:rPr>
          <w:rFonts w:ascii="Times New Roman" w:hAnsi="Times New Roman"/>
          <w:sz w:val="20"/>
        </w:rPr>
        <w:t xml:space="preserve"> </w:t>
      </w:r>
      <w:r w:rsidR="004A4A78">
        <w:rPr>
          <w:rFonts w:ascii="Times New Roman" w:hAnsi="Times New Roman"/>
          <w:sz w:val="20"/>
        </w:rPr>
        <w:t>T</w:t>
      </w:r>
      <w:r w:rsidR="00323003">
        <w:rPr>
          <w:rFonts w:ascii="Times New Roman" w:hAnsi="Times New Roman"/>
          <w:sz w:val="20"/>
        </w:rPr>
        <w:t xml:space="preserve">hese issues need </w:t>
      </w:r>
      <w:r w:rsidR="00A1125D">
        <w:rPr>
          <w:rFonts w:ascii="Times New Roman" w:hAnsi="Times New Roman"/>
          <w:sz w:val="20"/>
        </w:rPr>
        <w:t xml:space="preserve">to be further discussed in </w:t>
      </w:r>
      <w:r w:rsidR="0071408B">
        <w:rPr>
          <w:rFonts w:ascii="Times New Roman" w:hAnsi="Times New Roman"/>
          <w:sz w:val="20"/>
        </w:rPr>
        <w:t xml:space="preserve">RAN1 and </w:t>
      </w:r>
      <w:r w:rsidR="00A1125D">
        <w:rPr>
          <w:rFonts w:ascii="Times New Roman" w:hAnsi="Times New Roman"/>
          <w:sz w:val="20"/>
        </w:rPr>
        <w:t>RAN2 in more detail.</w:t>
      </w:r>
      <w:r w:rsidR="006C551C">
        <w:rPr>
          <w:rFonts w:ascii="Times New Roman" w:hAnsi="Times New Roman"/>
          <w:sz w:val="20"/>
        </w:rPr>
        <w:t xml:space="preserve"> </w:t>
      </w:r>
    </w:p>
    <w:p w14:paraId="60EF47C3" w14:textId="20F244E7" w:rsidR="006F53D1" w:rsidRDefault="006C551C" w:rsidP="006F53D1">
      <w:pPr>
        <w:rPr>
          <w:rFonts w:ascii="Times New Roman" w:hAnsi="Times New Roman"/>
          <w:sz w:val="20"/>
        </w:rPr>
      </w:pPr>
      <w:r>
        <w:rPr>
          <w:rFonts w:ascii="Times New Roman" w:hAnsi="Times New Roman"/>
          <w:sz w:val="20"/>
        </w:rPr>
        <w:t xml:space="preserve">In any case, at least the basic principles of carrier aggregation in LTE, e.g. </w:t>
      </w:r>
      <w:r w:rsidR="003D76A8">
        <w:rPr>
          <w:rFonts w:ascii="Times New Roman" w:hAnsi="Times New Roman"/>
          <w:sz w:val="20"/>
        </w:rPr>
        <w:t xml:space="preserve">concept of PCell/SCell (primary and secondary CCs), configurability of the usage of sidelink resources for </w:t>
      </w:r>
      <w:r w:rsidR="00136F78">
        <w:rPr>
          <w:rFonts w:ascii="Times New Roman" w:hAnsi="Times New Roman"/>
          <w:sz w:val="20"/>
        </w:rPr>
        <w:t>each CC</w:t>
      </w:r>
      <w:r w:rsidR="003D76A8">
        <w:rPr>
          <w:rFonts w:ascii="Times New Roman" w:hAnsi="Times New Roman"/>
          <w:sz w:val="20"/>
        </w:rPr>
        <w:t xml:space="preserve">, reconfiguration/addition/removal of </w:t>
      </w:r>
      <w:r w:rsidR="003D76A8">
        <w:rPr>
          <w:rFonts w:ascii="Times New Roman" w:hAnsi="Times New Roman"/>
          <w:sz w:val="20"/>
        </w:rPr>
        <w:lastRenderedPageBreak/>
        <w:t>SCell</w:t>
      </w:r>
      <w:r w:rsidR="0083198E">
        <w:rPr>
          <w:rFonts w:ascii="Times New Roman" w:hAnsi="Times New Roman"/>
          <w:sz w:val="20"/>
        </w:rPr>
        <w:t xml:space="preserve"> </w:t>
      </w:r>
      <w:r w:rsidR="003D76A8">
        <w:rPr>
          <w:rFonts w:ascii="Times New Roman" w:hAnsi="Times New Roman"/>
          <w:sz w:val="20"/>
        </w:rPr>
        <w:t xml:space="preserve">should be applicable to CA over sidelink. The details of network involvement and mode specific operation with respect to </w:t>
      </w:r>
      <w:r w:rsidR="0083198E">
        <w:rPr>
          <w:rFonts w:ascii="Times New Roman" w:hAnsi="Times New Roman"/>
          <w:sz w:val="20"/>
        </w:rPr>
        <w:t xml:space="preserve">each of </w:t>
      </w:r>
      <w:r w:rsidR="003D76A8">
        <w:rPr>
          <w:rFonts w:ascii="Times New Roman" w:hAnsi="Times New Roman"/>
          <w:sz w:val="20"/>
        </w:rPr>
        <w:t>the above can be discussed further.</w:t>
      </w:r>
    </w:p>
    <w:p w14:paraId="60EF47C4" w14:textId="0F155168" w:rsidR="0019188A" w:rsidRPr="006F53D1" w:rsidRDefault="0019188A" w:rsidP="006F53D1">
      <w:pPr>
        <w:ind w:left="1170" w:hanging="1170"/>
        <w:rPr>
          <w:rFonts w:ascii="Times New Roman" w:hAnsi="Times New Roman"/>
          <w:sz w:val="20"/>
        </w:rPr>
      </w:pPr>
      <w:r>
        <w:rPr>
          <w:rFonts w:ascii="Times New Roman" w:eastAsia="Times New Roman" w:hAnsi="Times New Roman"/>
          <w:b/>
          <w:bCs/>
          <w:sz w:val="20"/>
          <w:szCs w:val="20"/>
          <w:u w:val="single"/>
          <w:lang w:val="en-GB" w:eastAsia="zh-CN"/>
        </w:rPr>
        <w:t>Proposal</w:t>
      </w:r>
      <w:r w:rsidR="00D20B50">
        <w:rPr>
          <w:rFonts w:ascii="Times New Roman" w:eastAsia="Times New Roman" w:hAnsi="Times New Roman"/>
          <w:b/>
          <w:bCs/>
          <w:sz w:val="20"/>
          <w:szCs w:val="20"/>
          <w:u w:val="single"/>
          <w:lang w:val="en-GB" w:eastAsia="zh-CN"/>
        </w:rPr>
        <w:t xml:space="preserve">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 xml:space="preserve">Carrier aggregation </w:t>
      </w:r>
      <w:r w:rsidR="00C96E5D">
        <w:rPr>
          <w:rFonts w:ascii="Times New Roman" w:eastAsia="Times New Roman" w:hAnsi="Times New Roman"/>
          <w:bCs/>
          <w:i/>
          <w:sz w:val="20"/>
          <w:szCs w:val="20"/>
          <w:lang w:val="en-GB" w:eastAsia="zh-CN"/>
        </w:rPr>
        <w:t xml:space="preserve">principles </w:t>
      </w:r>
      <w:r>
        <w:rPr>
          <w:rFonts w:ascii="Times New Roman" w:eastAsia="Times New Roman" w:hAnsi="Times New Roman"/>
          <w:bCs/>
          <w:i/>
          <w:sz w:val="20"/>
          <w:szCs w:val="20"/>
          <w:lang w:val="en-GB" w:eastAsia="zh-CN"/>
        </w:rPr>
        <w:t>in LTE should be considered as bas</w:t>
      </w:r>
      <w:r w:rsidR="006242D5">
        <w:rPr>
          <w:rFonts w:ascii="Times New Roman" w:eastAsia="Times New Roman" w:hAnsi="Times New Roman"/>
          <w:bCs/>
          <w:i/>
          <w:sz w:val="20"/>
          <w:szCs w:val="20"/>
          <w:lang w:val="en-GB" w:eastAsia="zh-CN"/>
        </w:rPr>
        <w:t>e</w:t>
      </w:r>
      <w:r w:rsidR="006F53D1">
        <w:rPr>
          <w:rFonts w:ascii="Times New Roman" w:eastAsia="Times New Roman" w:hAnsi="Times New Roman"/>
          <w:bCs/>
          <w:i/>
          <w:sz w:val="20"/>
          <w:szCs w:val="20"/>
          <w:lang w:val="en-GB" w:eastAsia="zh-CN"/>
        </w:rPr>
        <w:t>line for designing carrier aggregation</w:t>
      </w:r>
      <w:r>
        <w:rPr>
          <w:rFonts w:ascii="Times New Roman" w:eastAsia="Times New Roman" w:hAnsi="Times New Roman"/>
          <w:bCs/>
          <w:i/>
          <w:sz w:val="20"/>
          <w:szCs w:val="20"/>
          <w:lang w:val="en-GB" w:eastAsia="zh-CN"/>
        </w:rPr>
        <w:t xml:space="preserve"> </w:t>
      </w:r>
      <w:r w:rsidR="006F53D1">
        <w:rPr>
          <w:rFonts w:ascii="Times New Roman" w:eastAsia="Times New Roman" w:hAnsi="Times New Roman"/>
          <w:bCs/>
          <w:i/>
          <w:sz w:val="20"/>
          <w:szCs w:val="20"/>
          <w:lang w:val="en-GB" w:eastAsia="zh-CN"/>
        </w:rPr>
        <w:t xml:space="preserve">operation </w:t>
      </w:r>
      <w:r>
        <w:rPr>
          <w:rFonts w:ascii="Times New Roman" w:eastAsia="Times New Roman" w:hAnsi="Times New Roman"/>
          <w:bCs/>
          <w:i/>
          <w:sz w:val="20"/>
          <w:szCs w:val="20"/>
          <w:lang w:val="en-GB" w:eastAsia="zh-CN"/>
        </w:rPr>
        <w:t>over sidelink</w:t>
      </w:r>
    </w:p>
    <w:p w14:paraId="60EF47C5" w14:textId="34D475E3" w:rsidR="006F53D1" w:rsidRPr="002F575F" w:rsidRDefault="006F53D1" w:rsidP="006F53D1">
      <w:pPr>
        <w:rPr>
          <w:rFonts w:ascii="Times New Roman" w:hAnsi="Times New Roman"/>
          <w:b/>
          <w:sz w:val="20"/>
          <w:u w:val="single"/>
        </w:rPr>
      </w:pPr>
      <w:r w:rsidRPr="002F575F">
        <w:rPr>
          <w:rFonts w:ascii="Times New Roman" w:hAnsi="Times New Roman"/>
          <w:b/>
          <w:sz w:val="20"/>
          <w:u w:val="single"/>
        </w:rPr>
        <w:t>Concept of PCell/SCell</w:t>
      </w:r>
    </w:p>
    <w:p w14:paraId="60EF47C6" w14:textId="4A96A189" w:rsidR="006F53D1" w:rsidRDefault="006F2CDA" w:rsidP="006F53D1">
      <w:pPr>
        <w:rPr>
          <w:rFonts w:ascii="Times New Roman" w:hAnsi="Times New Roman"/>
          <w:sz w:val="20"/>
        </w:rPr>
      </w:pPr>
      <w:r>
        <w:rPr>
          <w:rFonts w:ascii="Times New Roman" w:hAnsi="Times New Roman"/>
          <w:sz w:val="20"/>
        </w:rPr>
        <w:t>LTE CA has the</w:t>
      </w:r>
      <w:r w:rsidR="006F53D1">
        <w:rPr>
          <w:rFonts w:ascii="Times New Roman" w:hAnsi="Times New Roman"/>
          <w:sz w:val="20"/>
        </w:rPr>
        <w:t xml:space="preserve"> concept of PCell primary and SCell (composed of primary and secondary CCs respectively). The PCell serves as the source of RRC connectivity and NAS information as well as security inputs. The primary CC (corresponding to the PCell) also acts a source of synchronization and common system information</w:t>
      </w:r>
      <w:r w:rsidR="00C52641">
        <w:rPr>
          <w:rFonts w:ascii="Times New Roman" w:hAnsi="Times New Roman"/>
          <w:sz w:val="20"/>
        </w:rPr>
        <w:t xml:space="preserve">. </w:t>
      </w:r>
      <w:r w:rsidR="0007355E">
        <w:rPr>
          <w:rFonts w:ascii="Times New Roman" w:hAnsi="Times New Roman"/>
          <w:sz w:val="20"/>
        </w:rPr>
        <w:t xml:space="preserve">While there is no concept defined for a ‘cell’ in sidelink, defining a PCell similar to LTE </w:t>
      </w:r>
      <w:r w:rsidR="006F53D1">
        <w:rPr>
          <w:rFonts w:ascii="Times New Roman" w:hAnsi="Times New Roman"/>
          <w:sz w:val="20"/>
        </w:rPr>
        <w:t xml:space="preserve">can be </w:t>
      </w:r>
      <w:r w:rsidR="0007355E">
        <w:rPr>
          <w:rFonts w:ascii="Times New Roman" w:hAnsi="Times New Roman"/>
          <w:sz w:val="20"/>
        </w:rPr>
        <w:t xml:space="preserve">useful to consider </w:t>
      </w:r>
      <w:r w:rsidR="006F53D1">
        <w:rPr>
          <w:rFonts w:ascii="Times New Roman" w:hAnsi="Times New Roman"/>
          <w:sz w:val="20"/>
        </w:rPr>
        <w:t xml:space="preserve">for SL carrier aggregation operation. </w:t>
      </w:r>
      <w:r w:rsidR="0007355E">
        <w:rPr>
          <w:rFonts w:ascii="Times New Roman" w:hAnsi="Times New Roman"/>
          <w:sz w:val="20"/>
        </w:rPr>
        <w:t xml:space="preserve">In this way, PCell can carry the synchronization and broadcast information. In addition, it can also be responsible for SCell addition/removal and activation/deactivation. </w:t>
      </w:r>
      <w:r w:rsidR="00683A4C">
        <w:rPr>
          <w:rFonts w:ascii="Times New Roman" w:hAnsi="Times New Roman"/>
          <w:sz w:val="20"/>
        </w:rPr>
        <w:t>If defined</w:t>
      </w:r>
      <w:r w:rsidR="0007355E">
        <w:rPr>
          <w:rFonts w:ascii="Times New Roman" w:hAnsi="Times New Roman"/>
          <w:sz w:val="20"/>
        </w:rPr>
        <w:t xml:space="preserve">, PCell can </w:t>
      </w:r>
      <w:r w:rsidR="006F53D1">
        <w:rPr>
          <w:rFonts w:ascii="Times New Roman" w:hAnsi="Times New Roman"/>
          <w:sz w:val="20"/>
        </w:rPr>
        <w:t>be configured by the network</w:t>
      </w:r>
      <w:r w:rsidR="0007355E">
        <w:rPr>
          <w:rFonts w:ascii="Times New Roman" w:hAnsi="Times New Roman"/>
          <w:sz w:val="20"/>
        </w:rPr>
        <w:t xml:space="preserve"> when in coverage or be pre-configured</w:t>
      </w:r>
      <w:r w:rsidR="00683A4C">
        <w:rPr>
          <w:rFonts w:ascii="Times New Roman" w:hAnsi="Times New Roman"/>
          <w:sz w:val="20"/>
        </w:rPr>
        <w:t xml:space="preserve"> when out of coverage.</w:t>
      </w:r>
      <w:r w:rsidR="0007355E">
        <w:rPr>
          <w:rFonts w:ascii="Times New Roman" w:hAnsi="Times New Roman"/>
          <w:sz w:val="20"/>
        </w:rPr>
        <w:t xml:space="preserve"> </w:t>
      </w:r>
      <w:bookmarkStart w:id="0" w:name="_GoBack"/>
      <w:bookmarkEnd w:id="0"/>
    </w:p>
    <w:p w14:paraId="60EF47C7" w14:textId="7C083272" w:rsidR="006F53D1" w:rsidRPr="006F53D1" w:rsidRDefault="006F53D1" w:rsidP="006F53D1">
      <w:pPr>
        <w:ind w:left="1170" w:hanging="1170"/>
        <w:rPr>
          <w:rFonts w:ascii="Times New Roman" w:hAnsi="Times New Roman"/>
        </w:rPr>
      </w:pPr>
      <w:r>
        <w:rPr>
          <w:rFonts w:ascii="Times New Roman" w:eastAsia="Times New Roman" w:hAnsi="Times New Roman"/>
          <w:b/>
          <w:bCs/>
          <w:sz w:val="20"/>
          <w:szCs w:val="20"/>
          <w:u w:val="single"/>
          <w:lang w:val="en-GB" w:eastAsia="zh-CN"/>
        </w:rPr>
        <w:t>Proposal</w:t>
      </w:r>
      <w:r w:rsidR="00D20B50">
        <w:rPr>
          <w:rFonts w:ascii="Times New Roman" w:eastAsia="Times New Roman" w:hAnsi="Times New Roman"/>
          <w:b/>
          <w:bCs/>
          <w:sz w:val="20"/>
          <w:szCs w:val="20"/>
          <w:u w:val="single"/>
          <w:lang w:val="en-GB" w:eastAsia="zh-CN"/>
        </w:rPr>
        <w:t xml:space="preserve">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020BB3">
        <w:rPr>
          <w:rFonts w:ascii="Times New Roman" w:eastAsia="Times New Roman" w:hAnsi="Times New Roman"/>
          <w:bCs/>
          <w:i/>
          <w:sz w:val="20"/>
          <w:szCs w:val="20"/>
          <w:lang w:val="en-GB" w:eastAsia="zh-CN"/>
        </w:rPr>
        <w:t>The</w:t>
      </w:r>
      <w:r>
        <w:rPr>
          <w:rFonts w:ascii="Times New Roman" w:eastAsia="Times New Roman" w:hAnsi="Times New Roman"/>
          <w:bCs/>
          <w:i/>
          <w:sz w:val="20"/>
          <w:szCs w:val="20"/>
          <w:lang w:val="en-GB" w:eastAsia="zh-CN"/>
        </w:rPr>
        <w:t xml:space="preserve"> concept of PCell and SCell as in LTE </w:t>
      </w:r>
      <w:r w:rsidR="00770295">
        <w:rPr>
          <w:rFonts w:ascii="Times New Roman" w:eastAsia="Times New Roman" w:hAnsi="Times New Roman"/>
          <w:bCs/>
          <w:i/>
          <w:sz w:val="20"/>
          <w:szCs w:val="20"/>
          <w:lang w:val="en-GB" w:eastAsia="zh-CN"/>
        </w:rPr>
        <w:t>should</w:t>
      </w:r>
      <w:r>
        <w:rPr>
          <w:rFonts w:ascii="Times New Roman" w:eastAsia="Times New Roman" w:hAnsi="Times New Roman"/>
          <w:bCs/>
          <w:i/>
          <w:sz w:val="20"/>
          <w:szCs w:val="20"/>
          <w:lang w:val="en-GB" w:eastAsia="zh-CN"/>
        </w:rPr>
        <w:t xml:space="preserve"> </w:t>
      </w:r>
      <w:r w:rsidR="00770295">
        <w:rPr>
          <w:rFonts w:ascii="Times New Roman" w:eastAsia="Times New Roman" w:hAnsi="Times New Roman"/>
          <w:bCs/>
          <w:i/>
          <w:sz w:val="20"/>
          <w:szCs w:val="20"/>
          <w:lang w:val="en-GB" w:eastAsia="zh-CN"/>
        </w:rPr>
        <w:t xml:space="preserve">be </w:t>
      </w:r>
      <w:r w:rsidR="00020BB3">
        <w:rPr>
          <w:rFonts w:ascii="Times New Roman" w:eastAsia="Times New Roman" w:hAnsi="Times New Roman"/>
          <w:bCs/>
          <w:i/>
          <w:sz w:val="20"/>
          <w:szCs w:val="20"/>
          <w:lang w:val="en-GB" w:eastAsia="zh-CN"/>
        </w:rPr>
        <w:t>considered</w:t>
      </w:r>
      <w:r>
        <w:rPr>
          <w:rFonts w:ascii="Times New Roman" w:eastAsia="Times New Roman" w:hAnsi="Times New Roman"/>
          <w:bCs/>
          <w:i/>
          <w:sz w:val="20"/>
          <w:szCs w:val="20"/>
          <w:lang w:val="en-GB" w:eastAsia="zh-CN"/>
        </w:rPr>
        <w:t xml:space="preserve"> for carrier aggregation over PC5.</w:t>
      </w:r>
    </w:p>
    <w:p w14:paraId="60EF47C8" w14:textId="77777777" w:rsidR="00392D6E" w:rsidRPr="005117DA" w:rsidRDefault="0019188A" w:rsidP="00BB4A45">
      <w:pPr>
        <w:rPr>
          <w:rFonts w:ascii="Times New Roman" w:hAnsi="Times New Roman"/>
          <w:b/>
          <w:sz w:val="20"/>
          <w:u w:val="single"/>
        </w:rPr>
      </w:pPr>
      <w:r w:rsidRPr="005117DA">
        <w:rPr>
          <w:rFonts w:ascii="Times New Roman" w:hAnsi="Times New Roman"/>
          <w:b/>
          <w:sz w:val="20"/>
          <w:u w:val="single"/>
        </w:rPr>
        <w:t>Mode-3 vs Mode-4 operation</w:t>
      </w:r>
    </w:p>
    <w:p w14:paraId="60EF47C9" w14:textId="370865A5" w:rsidR="00392D6E" w:rsidRDefault="0019188A" w:rsidP="00BB4A45">
      <w:pPr>
        <w:rPr>
          <w:rFonts w:ascii="Times New Roman" w:hAnsi="Times New Roman"/>
          <w:sz w:val="20"/>
        </w:rPr>
      </w:pPr>
      <w:r>
        <w:rPr>
          <w:rFonts w:ascii="Times New Roman" w:hAnsi="Times New Roman"/>
          <w:sz w:val="20"/>
        </w:rPr>
        <w:t>In Rel-14, Mode-3 resource allocation, whereby the eNB schedules resources for V2X transmission, and Mode-4 operation, whereby the UE autonomously chooses the resources for V2X communication, are both supported. Therefore, when considering carrier aggrega</w:t>
      </w:r>
      <w:r w:rsidR="00F421C5">
        <w:rPr>
          <w:rFonts w:ascii="Times New Roman" w:hAnsi="Times New Roman"/>
          <w:sz w:val="20"/>
        </w:rPr>
        <w:t>tion, it should be considered whether UEs operating in either of the resource allocation modes should be supported. For mode 3, the eNB provides specific PSCCH and PSSCH resources for use by the UE, which can be semi-persistently scheduled. Since this requires in coverage operation, the eNB can additionally</w:t>
      </w:r>
      <w:r w:rsidR="005117DA">
        <w:rPr>
          <w:rFonts w:ascii="Times New Roman" w:hAnsi="Times New Roman"/>
          <w:sz w:val="20"/>
        </w:rPr>
        <w:t xml:space="preserve"> signal</w:t>
      </w:r>
      <w:r w:rsidR="00F421C5">
        <w:rPr>
          <w:rFonts w:ascii="Times New Roman" w:hAnsi="Times New Roman"/>
          <w:sz w:val="20"/>
        </w:rPr>
        <w:t xml:space="preserve"> the CA related information, e.g. the component carrier(s) used for the scheduled resources. </w:t>
      </w:r>
    </w:p>
    <w:p w14:paraId="60EF47CA" w14:textId="08239782" w:rsidR="00FD690B" w:rsidRDefault="00FD690B" w:rsidP="00BB4A45">
      <w:pPr>
        <w:rPr>
          <w:rFonts w:ascii="Times New Roman" w:hAnsi="Times New Roman"/>
          <w:sz w:val="20"/>
        </w:rPr>
      </w:pPr>
      <w:r>
        <w:rPr>
          <w:rFonts w:ascii="Times New Roman" w:hAnsi="Times New Roman"/>
          <w:sz w:val="20"/>
        </w:rPr>
        <w:t xml:space="preserve">For Mode-4 operation, the UE performs sensing and selects resources for transmission from a set of (pre)configured resources for PSCCH and PSSCH. </w:t>
      </w:r>
      <w:r w:rsidR="00770295">
        <w:rPr>
          <w:rFonts w:ascii="Times New Roman" w:hAnsi="Times New Roman"/>
          <w:sz w:val="20"/>
        </w:rPr>
        <w:t>In case the UE is in coverage, eNB can at least configure carrier aggregation operation over Uu. However,</w:t>
      </w:r>
      <w:r>
        <w:rPr>
          <w:rFonts w:ascii="Times New Roman" w:hAnsi="Times New Roman"/>
          <w:sz w:val="20"/>
        </w:rPr>
        <w:t xml:space="preserve"> for out of coverage scenarios, in order for the UE to schedule V2V transmission over multiple CCs, there are a few issues. For example, how is each component carrier chosen for scheduling of resources in the absence of any assistance information from the network</w:t>
      </w:r>
      <w:r w:rsidR="00770295">
        <w:rPr>
          <w:rFonts w:ascii="Times New Roman" w:hAnsi="Times New Roman"/>
          <w:sz w:val="20"/>
        </w:rPr>
        <w:t>?</w:t>
      </w:r>
      <w:r w:rsidR="00EF7688">
        <w:rPr>
          <w:rFonts w:ascii="Times New Roman" w:hAnsi="Times New Roman"/>
          <w:sz w:val="20"/>
        </w:rPr>
        <w:t xml:space="preserve"> Also, the UE now has to perf</w:t>
      </w:r>
      <w:r>
        <w:rPr>
          <w:rFonts w:ascii="Times New Roman" w:hAnsi="Times New Roman"/>
          <w:sz w:val="20"/>
        </w:rPr>
        <w:t>o</w:t>
      </w:r>
      <w:r w:rsidR="00EF7688">
        <w:rPr>
          <w:rFonts w:ascii="Times New Roman" w:hAnsi="Times New Roman"/>
          <w:sz w:val="20"/>
        </w:rPr>
        <w:t>rm sensing and resource (re)selection potentially over multiple carriers, should this sensing/</w:t>
      </w:r>
      <w:r w:rsidR="005117DA">
        <w:rPr>
          <w:rFonts w:ascii="Times New Roman" w:hAnsi="Times New Roman"/>
          <w:sz w:val="20"/>
        </w:rPr>
        <w:t>reselection</w:t>
      </w:r>
      <w:r w:rsidR="00EF7688">
        <w:rPr>
          <w:rFonts w:ascii="Times New Roman" w:hAnsi="Times New Roman"/>
          <w:sz w:val="20"/>
        </w:rPr>
        <w:t xml:space="preserve"> </w:t>
      </w:r>
      <w:r w:rsidR="005117DA">
        <w:rPr>
          <w:rFonts w:ascii="Times New Roman" w:hAnsi="Times New Roman"/>
          <w:sz w:val="20"/>
        </w:rPr>
        <w:t xml:space="preserve">of resources </w:t>
      </w:r>
      <w:r w:rsidR="00EF7688">
        <w:rPr>
          <w:rFonts w:ascii="Times New Roman" w:hAnsi="Times New Roman"/>
          <w:sz w:val="20"/>
        </w:rPr>
        <w:t xml:space="preserve">be performed per CC or in a joint fashion across all available CCs? </w:t>
      </w:r>
      <w:r w:rsidR="00542BF0">
        <w:rPr>
          <w:rFonts w:ascii="Times New Roman" w:hAnsi="Times New Roman"/>
          <w:sz w:val="20"/>
        </w:rPr>
        <w:t>Joint sensing and reselection across multiple CC</w:t>
      </w:r>
      <w:r w:rsidR="00B65189">
        <w:rPr>
          <w:rFonts w:ascii="Times New Roman" w:hAnsi="Times New Roman"/>
          <w:sz w:val="20"/>
        </w:rPr>
        <w:t>, while seemingly more efficient,</w:t>
      </w:r>
      <w:r w:rsidR="00542BF0">
        <w:rPr>
          <w:rFonts w:ascii="Times New Roman" w:hAnsi="Times New Roman"/>
          <w:sz w:val="20"/>
        </w:rPr>
        <w:t xml:space="preserve"> </w:t>
      </w:r>
      <w:r w:rsidR="00C87617">
        <w:rPr>
          <w:rFonts w:ascii="Times New Roman" w:hAnsi="Times New Roman"/>
          <w:sz w:val="20"/>
        </w:rPr>
        <w:t xml:space="preserve">would </w:t>
      </w:r>
      <w:r w:rsidR="00EF7688">
        <w:rPr>
          <w:rFonts w:ascii="Times New Roman" w:hAnsi="Times New Roman"/>
          <w:sz w:val="20"/>
        </w:rPr>
        <w:t xml:space="preserve">impart </w:t>
      </w:r>
      <w:r w:rsidR="00B65189">
        <w:rPr>
          <w:rFonts w:ascii="Times New Roman" w:hAnsi="Times New Roman"/>
          <w:sz w:val="20"/>
        </w:rPr>
        <w:t xml:space="preserve">greater </w:t>
      </w:r>
      <w:r w:rsidR="00EF7688">
        <w:rPr>
          <w:rFonts w:ascii="Times New Roman" w:hAnsi="Times New Roman"/>
          <w:sz w:val="20"/>
        </w:rPr>
        <w:t xml:space="preserve">complexity </w:t>
      </w:r>
      <w:r w:rsidR="00B65189">
        <w:rPr>
          <w:rFonts w:ascii="Times New Roman" w:hAnsi="Times New Roman"/>
          <w:sz w:val="20"/>
        </w:rPr>
        <w:t>at</w:t>
      </w:r>
      <w:r w:rsidR="00542BF0">
        <w:rPr>
          <w:rFonts w:ascii="Times New Roman" w:hAnsi="Times New Roman"/>
          <w:sz w:val="20"/>
        </w:rPr>
        <w:t xml:space="preserve"> the UE </w:t>
      </w:r>
      <w:r w:rsidR="00EF7688">
        <w:rPr>
          <w:rFonts w:ascii="Times New Roman" w:hAnsi="Times New Roman"/>
          <w:sz w:val="20"/>
        </w:rPr>
        <w:t xml:space="preserve">since </w:t>
      </w:r>
      <w:r w:rsidR="00542BF0">
        <w:rPr>
          <w:rFonts w:ascii="Times New Roman" w:hAnsi="Times New Roman"/>
          <w:sz w:val="20"/>
        </w:rPr>
        <w:t>it</w:t>
      </w:r>
      <w:r w:rsidR="005117DA">
        <w:rPr>
          <w:rFonts w:ascii="Times New Roman" w:hAnsi="Times New Roman"/>
          <w:sz w:val="20"/>
        </w:rPr>
        <w:t xml:space="preserve"> would need to </w:t>
      </w:r>
      <w:r w:rsidR="00B65189">
        <w:rPr>
          <w:rFonts w:ascii="Times New Roman" w:hAnsi="Times New Roman"/>
          <w:sz w:val="20"/>
        </w:rPr>
        <w:t xml:space="preserve">acquire </w:t>
      </w:r>
      <w:r w:rsidR="005117DA">
        <w:rPr>
          <w:rFonts w:ascii="Times New Roman" w:hAnsi="Times New Roman"/>
          <w:sz w:val="20"/>
        </w:rPr>
        <w:t>a</w:t>
      </w:r>
      <w:r w:rsidR="00EF7688">
        <w:rPr>
          <w:rFonts w:ascii="Times New Roman" w:hAnsi="Times New Roman"/>
          <w:sz w:val="20"/>
        </w:rPr>
        <w:t xml:space="preserve"> </w:t>
      </w:r>
      <w:r w:rsidR="005117DA">
        <w:rPr>
          <w:rFonts w:ascii="Times New Roman" w:hAnsi="Times New Roman"/>
          <w:sz w:val="20"/>
        </w:rPr>
        <w:t xml:space="preserve">more </w:t>
      </w:r>
      <w:r w:rsidR="00EF7688">
        <w:rPr>
          <w:rFonts w:ascii="Times New Roman" w:hAnsi="Times New Roman"/>
          <w:sz w:val="20"/>
        </w:rPr>
        <w:t xml:space="preserve">complete picture of how congested/overloaded each CC is. </w:t>
      </w:r>
      <w:r w:rsidR="00542BF0">
        <w:rPr>
          <w:rFonts w:ascii="Times New Roman" w:hAnsi="Times New Roman"/>
          <w:sz w:val="20"/>
        </w:rPr>
        <w:t xml:space="preserve">This also poses compatibility issues for Rel-14 UEs which may not be able to perform such </w:t>
      </w:r>
      <w:r w:rsidR="00B65189">
        <w:rPr>
          <w:rFonts w:ascii="Times New Roman" w:hAnsi="Times New Roman"/>
          <w:sz w:val="20"/>
        </w:rPr>
        <w:t>operation</w:t>
      </w:r>
      <w:r w:rsidR="00542BF0">
        <w:rPr>
          <w:rFonts w:ascii="Times New Roman" w:hAnsi="Times New Roman"/>
          <w:sz w:val="20"/>
        </w:rPr>
        <w:t xml:space="preserve">. </w:t>
      </w:r>
      <w:r w:rsidR="00EF7688">
        <w:rPr>
          <w:rFonts w:ascii="Times New Roman" w:hAnsi="Times New Roman"/>
          <w:sz w:val="20"/>
        </w:rPr>
        <w:t xml:space="preserve">Therefore, we propose to discuss further whether additional enhancements to Rel-14 mode 4 </w:t>
      </w:r>
      <w:r w:rsidR="00B65189">
        <w:rPr>
          <w:rFonts w:ascii="Times New Roman" w:hAnsi="Times New Roman"/>
          <w:sz w:val="20"/>
        </w:rPr>
        <w:t xml:space="preserve">sensing/resource selection </w:t>
      </w:r>
      <w:r w:rsidR="00EF7688">
        <w:rPr>
          <w:rFonts w:ascii="Times New Roman" w:hAnsi="Times New Roman"/>
          <w:sz w:val="20"/>
        </w:rPr>
        <w:t>operation are necessary to support carrier aggregation.</w:t>
      </w:r>
    </w:p>
    <w:p w14:paraId="60EF47CB" w14:textId="67AAFDA4" w:rsidR="00EF7688" w:rsidRDefault="005117DA" w:rsidP="006F53D1">
      <w:pPr>
        <w:ind w:left="1170" w:hanging="1170"/>
        <w:rPr>
          <w:rFonts w:ascii="Times New Roman" w:hAnsi="Times New Roman"/>
        </w:rPr>
      </w:pPr>
      <w:r>
        <w:rPr>
          <w:rFonts w:ascii="Times New Roman" w:eastAsia="Times New Roman" w:hAnsi="Times New Roman"/>
          <w:b/>
          <w:bCs/>
          <w:sz w:val="20"/>
          <w:szCs w:val="20"/>
          <w:u w:val="single"/>
          <w:lang w:val="en-GB" w:eastAsia="zh-CN"/>
        </w:rPr>
        <w:t>Proposal</w:t>
      </w:r>
      <w:r w:rsidR="00D20B50">
        <w:rPr>
          <w:rFonts w:ascii="Times New Roman" w:eastAsia="Times New Roman" w:hAnsi="Times New Roman"/>
          <w:b/>
          <w:bCs/>
          <w:sz w:val="20"/>
          <w:szCs w:val="20"/>
          <w:u w:val="single"/>
          <w:lang w:val="en-GB" w:eastAsia="zh-CN"/>
        </w:rPr>
        <w:t xml:space="preserve"> 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770295">
        <w:rPr>
          <w:rFonts w:ascii="Times New Roman" w:eastAsia="Times New Roman" w:hAnsi="Times New Roman"/>
          <w:bCs/>
          <w:i/>
          <w:sz w:val="20"/>
          <w:szCs w:val="20"/>
          <w:lang w:val="en-GB" w:eastAsia="zh-CN"/>
        </w:rPr>
        <w:t>The</w:t>
      </w:r>
      <w:r w:rsidR="006242D5">
        <w:rPr>
          <w:rFonts w:ascii="Times New Roman" w:eastAsia="Times New Roman" w:hAnsi="Times New Roman"/>
          <w:bCs/>
          <w:i/>
          <w:sz w:val="20"/>
          <w:szCs w:val="20"/>
          <w:lang w:val="en-GB" w:eastAsia="zh-CN"/>
        </w:rPr>
        <w:t xml:space="preserve"> need for enhancements to </w:t>
      </w:r>
      <w:r w:rsidR="00020BB3">
        <w:rPr>
          <w:rFonts w:ascii="Times New Roman" w:eastAsia="Times New Roman" w:hAnsi="Times New Roman"/>
          <w:bCs/>
          <w:i/>
          <w:sz w:val="20"/>
          <w:szCs w:val="20"/>
          <w:lang w:val="en-GB" w:eastAsia="zh-CN"/>
        </w:rPr>
        <w:t xml:space="preserve">Rel-14 </w:t>
      </w:r>
      <w:r w:rsidR="00E66747">
        <w:rPr>
          <w:rFonts w:ascii="Times New Roman" w:eastAsia="Times New Roman" w:hAnsi="Times New Roman"/>
          <w:bCs/>
          <w:i/>
          <w:sz w:val="20"/>
          <w:szCs w:val="20"/>
          <w:lang w:val="en-GB" w:eastAsia="zh-CN"/>
        </w:rPr>
        <w:t xml:space="preserve">Mode-4 operation </w:t>
      </w:r>
      <w:r w:rsidR="00770295">
        <w:rPr>
          <w:rFonts w:ascii="Times New Roman" w:eastAsia="Times New Roman" w:hAnsi="Times New Roman"/>
          <w:bCs/>
          <w:i/>
          <w:sz w:val="20"/>
          <w:szCs w:val="20"/>
          <w:lang w:val="en-GB" w:eastAsia="zh-CN"/>
        </w:rPr>
        <w:t xml:space="preserve">and signalling </w:t>
      </w:r>
      <w:r w:rsidR="00E66747">
        <w:rPr>
          <w:rFonts w:ascii="Times New Roman" w:eastAsia="Times New Roman" w:hAnsi="Times New Roman"/>
          <w:bCs/>
          <w:i/>
          <w:sz w:val="20"/>
          <w:szCs w:val="20"/>
          <w:lang w:val="en-GB" w:eastAsia="zh-CN"/>
        </w:rPr>
        <w:t xml:space="preserve">in order to </w:t>
      </w:r>
      <w:r w:rsidR="006242D5">
        <w:rPr>
          <w:rFonts w:ascii="Times New Roman" w:eastAsia="Times New Roman" w:hAnsi="Times New Roman"/>
          <w:bCs/>
          <w:i/>
          <w:sz w:val="20"/>
          <w:szCs w:val="20"/>
          <w:lang w:val="en-GB" w:eastAsia="zh-CN"/>
        </w:rPr>
        <w:t>support carrier aggrega</w:t>
      </w:r>
      <w:r w:rsidR="00E66747">
        <w:rPr>
          <w:rFonts w:ascii="Times New Roman" w:eastAsia="Times New Roman" w:hAnsi="Times New Roman"/>
          <w:bCs/>
          <w:i/>
          <w:sz w:val="20"/>
          <w:szCs w:val="20"/>
          <w:lang w:val="en-GB" w:eastAsia="zh-CN"/>
        </w:rPr>
        <w:t>tion</w:t>
      </w:r>
      <w:r w:rsidR="00770295">
        <w:rPr>
          <w:rFonts w:ascii="Times New Roman" w:eastAsia="Times New Roman" w:hAnsi="Times New Roman"/>
          <w:bCs/>
          <w:i/>
          <w:sz w:val="20"/>
          <w:szCs w:val="20"/>
          <w:lang w:val="en-GB" w:eastAsia="zh-CN"/>
        </w:rPr>
        <w:t xml:space="preserve"> over SL should be discussed in RAN2.</w:t>
      </w:r>
    </w:p>
    <w:p w14:paraId="60EF47CC" w14:textId="77777777" w:rsidR="005117DA" w:rsidRPr="00A86D91" w:rsidRDefault="005117DA" w:rsidP="00BB4A45">
      <w:pPr>
        <w:rPr>
          <w:rFonts w:ascii="Times New Roman" w:hAnsi="Times New Roman"/>
          <w:b/>
          <w:sz w:val="20"/>
          <w:u w:val="single"/>
        </w:rPr>
      </w:pPr>
      <w:r w:rsidRPr="00A86D91">
        <w:rPr>
          <w:rFonts w:ascii="Times New Roman" w:hAnsi="Times New Roman"/>
          <w:b/>
          <w:sz w:val="20"/>
          <w:u w:val="single"/>
        </w:rPr>
        <w:t>Cross-Carrier Scheduling</w:t>
      </w:r>
    </w:p>
    <w:p w14:paraId="60EF47CD" w14:textId="77777777" w:rsidR="00F94B7D" w:rsidRDefault="005117DA" w:rsidP="00BB4A45">
      <w:pPr>
        <w:rPr>
          <w:rFonts w:ascii="Times New Roman" w:hAnsi="Times New Roman"/>
          <w:sz w:val="20"/>
        </w:rPr>
      </w:pPr>
      <w:r>
        <w:rPr>
          <w:rFonts w:ascii="Times New Roman" w:hAnsi="Times New Roman"/>
          <w:sz w:val="20"/>
        </w:rPr>
        <w:t>LTE supports both self and cross carrier scheduling, i.e.</w:t>
      </w:r>
      <w:r w:rsidR="001672FC">
        <w:rPr>
          <w:rFonts w:ascii="Times New Roman" w:hAnsi="Times New Roman"/>
          <w:sz w:val="20"/>
        </w:rPr>
        <w:t xml:space="preserve"> the scheduling assignment can be done per CC or it can correspond to a different CC. </w:t>
      </w:r>
      <w:r w:rsidR="00770295">
        <w:rPr>
          <w:rFonts w:ascii="Times New Roman" w:hAnsi="Times New Roman"/>
          <w:sz w:val="20"/>
        </w:rPr>
        <w:t xml:space="preserve">For carrier aggregation over sidelink, </w:t>
      </w:r>
      <w:r w:rsidR="00F94B7D">
        <w:rPr>
          <w:rFonts w:ascii="Times New Roman" w:hAnsi="Times New Roman"/>
          <w:sz w:val="20"/>
        </w:rPr>
        <w:t xml:space="preserve">RAN1 has made the following agreement regarding </w:t>
      </w:r>
      <w:r w:rsidR="006B21C6">
        <w:rPr>
          <w:rFonts w:ascii="Times New Roman" w:hAnsi="Times New Roman"/>
          <w:sz w:val="20"/>
        </w:rPr>
        <w:t>carrier aggregation</w:t>
      </w:r>
      <w:r w:rsidR="00F94B7D">
        <w:rPr>
          <w:rFonts w:ascii="Times New Roman" w:hAnsi="Times New Roman"/>
          <w:sz w:val="20"/>
        </w:rPr>
        <w:t xml:space="preserve"> in RAN1#89:</w:t>
      </w:r>
    </w:p>
    <w:tbl>
      <w:tblPr>
        <w:tblStyle w:val="TableGrid"/>
        <w:tblW w:w="0" w:type="auto"/>
        <w:tblLook w:val="04A0" w:firstRow="1" w:lastRow="0" w:firstColumn="1" w:lastColumn="0" w:noHBand="0" w:noVBand="1"/>
      </w:tblPr>
      <w:tblGrid>
        <w:gridCol w:w="9629"/>
      </w:tblGrid>
      <w:tr w:rsidR="00F94B7D" w14:paraId="60EF47D6" w14:textId="77777777" w:rsidTr="00F94B7D">
        <w:trPr>
          <w:trHeight w:val="854"/>
        </w:trPr>
        <w:tc>
          <w:tcPr>
            <w:tcW w:w="9629" w:type="dxa"/>
          </w:tcPr>
          <w:p w14:paraId="60EF47CE" w14:textId="77777777" w:rsidR="006B21C6" w:rsidRDefault="006B21C6" w:rsidP="006B21C6">
            <w:pPr>
              <w:numPr>
                <w:ilvl w:val="0"/>
                <w:numId w:val="8"/>
              </w:numPr>
              <w:spacing w:after="0" w:line="240" w:lineRule="auto"/>
              <w:rPr>
                <w:rFonts w:eastAsia="MS Mincho"/>
                <w:iCs/>
                <w:sz w:val="20"/>
                <w:szCs w:val="24"/>
                <w:lang w:eastAsia="ja-JP"/>
              </w:rPr>
            </w:pPr>
            <w:r>
              <w:rPr>
                <w:rFonts w:eastAsia="MS Mincho"/>
                <w:iCs/>
                <w:lang w:eastAsia="ja-JP"/>
              </w:rPr>
              <w:t>For RAN1, 3 use cases are considered for CA (Note that all use cases may not necessarily be supported):</w:t>
            </w:r>
          </w:p>
          <w:p w14:paraId="60EF47CF" w14:textId="77777777" w:rsidR="006B21C6" w:rsidRDefault="006B21C6" w:rsidP="006B21C6">
            <w:pPr>
              <w:numPr>
                <w:ilvl w:val="1"/>
                <w:numId w:val="8"/>
              </w:numPr>
              <w:spacing w:after="0" w:line="240" w:lineRule="auto"/>
              <w:rPr>
                <w:rFonts w:eastAsia="MS Mincho"/>
                <w:iCs/>
                <w:lang w:eastAsia="ja-JP"/>
              </w:rPr>
            </w:pPr>
            <w:r>
              <w:rPr>
                <w:rFonts w:eastAsia="MS Mincho"/>
                <w:iCs/>
                <w:lang w:eastAsia="ja-JP"/>
              </w:rPr>
              <w:t xml:space="preserve">Parallel transmission of MAC PDUs (‘parallel’ means at the same or different transmission time, but on different carriers). The MAC PDU payloads are different. </w:t>
            </w:r>
          </w:p>
          <w:p w14:paraId="60EF47D0" w14:textId="77777777" w:rsidR="006B21C6" w:rsidRDefault="006B21C6" w:rsidP="006B21C6">
            <w:pPr>
              <w:numPr>
                <w:ilvl w:val="1"/>
                <w:numId w:val="8"/>
              </w:numPr>
              <w:spacing w:after="0" w:line="240" w:lineRule="auto"/>
              <w:rPr>
                <w:rFonts w:eastAsia="MS Mincho"/>
                <w:iCs/>
                <w:lang w:eastAsia="ja-JP"/>
              </w:rPr>
            </w:pPr>
            <w:r>
              <w:rPr>
                <w:rFonts w:eastAsia="MS Mincho"/>
                <w:iCs/>
                <w:lang w:eastAsia="ja-JP"/>
              </w:rPr>
              <w:t>Parallel transmission of replicated copies of the same packet (‘parallel’ means at the same or different transmission time, but on different carriers)</w:t>
            </w:r>
          </w:p>
          <w:p w14:paraId="60EF47D1" w14:textId="77777777" w:rsidR="006B21C6" w:rsidRDefault="006B21C6" w:rsidP="006B21C6">
            <w:pPr>
              <w:numPr>
                <w:ilvl w:val="2"/>
                <w:numId w:val="8"/>
              </w:numPr>
              <w:spacing w:after="0" w:line="240" w:lineRule="auto"/>
              <w:rPr>
                <w:rFonts w:eastAsia="MS Mincho"/>
                <w:iCs/>
                <w:lang w:eastAsia="ja-JP"/>
              </w:rPr>
            </w:pPr>
            <w:r>
              <w:rPr>
                <w:rFonts w:eastAsia="MS Mincho"/>
                <w:iCs/>
                <w:lang w:eastAsia="ja-JP"/>
              </w:rPr>
              <w:t>FFS at which layer replication is done</w:t>
            </w:r>
          </w:p>
          <w:p w14:paraId="60EF47D2" w14:textId="77777777" w:rsidR="006B21C6" w:rsidRDefault="006B21C6" w:rsidP="006B21C6">
            <w:pPr>
              <w:numPr>
                <w:ilvl w:val="1"/>
                <w:numId w:val="8"/>
              </w:numPr>
              <w:spacing w:after="0" w:line="240" w:lineRule="auto"/>
              <w:rPr>
                <w:rFonts w:eastAsia="MS Mincho"/>
                <w:iCs/>
                <w:lang w:eastAsia="ja-JP"/>
              </w:rPr>
            </w:pPr>
            <w:r>
              <w:rPr>
                <w:rFonts w:eastAsia="MS Mincho"/>
                <w:iCs/>
                <w:lang w:eastAsia="ja-JP"/>
              </w:rPr>
              <w:t>Capacity improvements from the receiver perspective</w:t>
            </w:r>
          </w:p>
          <w:p w14:paraId="60EF47D3" w14:textId="77777777" w:rsidR="006B21C6" w:rsidRDefault="006B21C6" w:rsidP="006B21C6">
            <w:pPr>
              <w:numPr>
                <w:ilvl w:val="2"/>
                <w:numId w:val="8"/>
              </w:numPr>
              <w:spacing w:after="0" w:line="240" w:lineRule="auto"/>
              <w:rPr>
                <w:rFonts w:eastAsia="MS Mincho"/>
                <w:iCs/>
                <w:lang w:eastAsia="ja-JP"/>
              </w:rPr>
            </w:pPr>
            <w:r>
              <w:rPr>
                <w:rFonts w:eastAsia="MS Mincho"/>
                <w:iCs/>
                <w:lang w:eastAsia="ja-JP"/>
              </w:rPr>
              <w:t>Note: From the receiver’s perspective, simultaneous reception over multiple carriers is assumed. From a transmitter’s perspective, transmission occurs over a subset of the available carriers</w:t>
            </w:r>
          </w:p>
          <w:p w14:paraId="60EF47D4" w14:textId="77777777" w:rsidR="006B21C6" w:rsidRDefault="006B21C6" w:rsidP="006B21C6">
            <w:pPr>
              <w:numPr>
                <w:ilvl w:val="2"/>
                <w:numId w:val="8"/>
              </w:numPr>
              <w:spacing w:after="0" w:line="240" w:lineRule="auto"/>
              <w:rPr>
                <w:rFonts w:eastAsia="MS Mincho"/>
                <w:iCs/>
                <w:lang w:eastAsia="ja-JP"/>
              </w:rPr>
            </w:pPr>
            <w:r>
              <w:rPr>
                <w:rFonts w:eastAsia="MS Mincho"/>
                <w:iCs/>
                <w:lang w:eastAsia="ja-JP"/>
              </w:rPr>
              <w:lastRenderedPageBreak/>
              <w:t>For example, capacity could be increased a UE transmits on a single carrier (which can be different for each UE), but receives over all carriers</w:t>
            </w:r>
          </w:p>
          <w:p w14:paraId="60EF47D5" w14:textId="77777777" w:rsidR="00F94B7D" w:rsidRPr="00F94B7D" w:rsidRDefault="00F94B7D" w:rsidP="006B21C6">
            <w:pPr>
              <w:spacing w:after="0" w:line="240" w:lineRule="auto"/>
              <w:rPr>
                <w:rFonts w:eastAsia="MS Mincho"/>
                <w:iCs/>
                <w:lang w:eastAsia="ja-JP"/>
              </w:rPr>
            </w:pPr>
            <w:r>
              <w:rPr>
                <w:rFonts w:eastAsia="MS Mincho"/>
                <w:iCs/>
                <w:lang w:eastAsia="ja-JP"/>
              </w:rPr>
              <w:t xml:space="preserve"> </w:t>
            </w:r>
          </w:p>
        </w:tc>
      </w:tr>
    </w:tbl>
    <w:p w14:paraId="60EF47D7" w14:textId="77777777" w:rsidR="00F94B7D" w:rsidRDefault="00F94B7D" w:rsidP="00BB4A45">
      <w:pPr>
        <w:rPr>
          <w:rFonts w:ascii="Times New Roman" w:hAnsi="Times New Roman"/>
          <w:sz w:val="20"/>
        </w:rPr>
      </w:pPr>
    </w:p>
    <w:tbl>
      <w:tblPr>
        <w:tblStyle w:val="TableGrid"/>
        <w:tblW w:w="0" w:type="auto"/>
        <w:tblLook w:val="04A0" w:firstRow="1" w:lastRow="0" w:firstColumn="1" w:lastColumn="0" w:noHBand="0" w:noVBand="1"/>
      </w:tblPr>
      <w:tblGrid>
        <w:gridCol w:w="9629"/>
      </w:tblGrid>
      <w:tr w:rsidR="006B21C6" w14:paraId="60EF47DA" w14:textId="77777777" w:rsidTr="006B21C6">
        <w:tc>
          <w:tcPr>
            <w:tcW w:w="9629" w:type="dxa"/>
          </w:tcPr>
          <w:p w14:paraId="60EF47D8" w14:textId="77777777" w:rsidR="006B21C6" w:rsidRDefault="006B21C6" w:rsidP="006B21C6">
            <w:pPr>
              <w:numPr>
                <w:ilvl w:val="0"/>
                <w:numId w:val="8"/>
              </w:numPr>
              <w:spacing w:after="0" w:line="240" w:lineRule="auto"/>
              <w:rPr>
                <w:rFonts w:eastAsia="MS Mincho"/>
                <w:iCs/>
                <w:sz w:val="20"/>
                <w:szCs w:val="24"/>
                <w:lang w:eastAsia="ja-JP"/>
              </w:rPr>
            </w:pPr>
            <w:r>
              <w:rPr>
                <w:rFonts w:eastAsia="MS Mincho"/>
                <w:iCs/>
                <w:lang w:eastAsia="ja-JP"/>
              </w:rPr>
              <w:t xml:space="preserve">In rel. 15 V2X WI, PSCCH and its associated PSSCH are transmitted in same carrier. </w:t>
            </w:r>
          </w:p>
          <w:p w14:paraId="60EF47D9" w14:textId="77777777" w:rsidR="006B21C6" w:rsidRPr="006B21C6" w:rsidRDefault="006B21C6" w:rsidP="006B21C6">
            <w:pPr>
              <w:numPr>
                <w:ilvl w:val="0"/>
                <w:numId w:val="8"/>
              </w:numPr>
              <w:spacing w:after="0" w:line="240" w:lineRule="auto"/>
              <w:rPr>
                <w:rFonts w:eastAsia="MS Mincho"/>
                <w:iCs/>
                <w:sz w:val="20"/>
                <w:szCs w:val="24"/>
                <w:lang w:eastAsia="ja-JP"/>
              </w:rPr>
            </w:pPr>
            <w:r w:rsidRPr="006B21C6">
              <w:rPr>
                <w:rFonts w:eastAsia="MS Mincho"/>
                <w:iCs/>
                <w:lang w:eastAsia="ja-JP"/>
              </w:rPr>
              <w:t>This does not preclude the PSCCH to contain information about other carriers, as long as within the scope of the WID</w:t>
            </w:r>
          </w:p>
        </w:tc>
      </w:tr>
    </w:tbl>
    <w:p w14:paraId="60EF47DB" w14:textId="77777777" w:rsidR="00770295" w:rsidRDefault="00770295" w:rsidP="00BB4A45">
      <w:pPr>
        <w:rPr>
          <w:rFonts w:ascii="Times New Roman" w:hAnsi="Times New Roman"/>
          <w:sz w:val="20"/>
        </w:rPr>
      </w:pPr>
    </w:p>
    <w:p w14:paraId="2F4A0159" w14:textId="10A5E9BB" w:rsidR="008C0C20" w:rsidRDefault="00F94B7D" w:rsidP="00BB4A45">
      <w:pPr>
        <w:rPr>
          <w:rFonts w:ascii="Times New Roman" w:hAnsi="Times New Roman"/>
          <w:sz w:val="20"/>
        </w:rPr>
      </w:pPr>
      <w:r>
        <w:rPr>
          <w:rFonts w:ascii="Times New Roman" w:hAnsi="Times New Roman"/>
          <w:sz w:val="20"/>
        </w:rPr>
        <w:t xml:space="preserve">While </w:t>
      </w:r>
      <w:r w:rsidR="006B21C6">
        <w:rPr>
          <w:rFonts w:ascii="Times New Roman" w:hAnsi="Times New Roman"/>
          <w:sz w:val="20"/>
        </w:rPr>
        <w:t>the second agreement</w:t>
      </w:r>
      <w:r w:rsidR="00770295">
        <w:rPr>
          <w:rFonts w:ascii="Times New Roman" w:hAnsi="Times New Roman"/>
          <w:sz w:val="20"/>
        </w:rPr>
        <w:t xml:space="preserve"> </w:t>
      </w:r>
      <w:r w:rsidR="006B21C6">
        <w:rPr>
          <w:rFonts w:ascii="Times New Roman" w:hAnsi="Times New Roman"/>
          <w:sz w:val="20"/>
        </w:rPr>
        <w:t>seem</w:t>
      </w:r>
      <w:r w:rsidR="00770295">
        <w:rPr>
          <w:rFonts w:ascii="Times New Roman" w:hAnsi="Times New Roman"/>
          <w:sz w:val="20"/>
        </w:rPr>
        <w:t>s</w:t>
      </w:r>
      <w:r w:rsidR="006B21C6">
        <w:rPr>
          <w:rFonts w:ascii="Times New Roman" w:hAnsi="Times New Roman"/>
          <w:sz w:val="20"/>
        </w:rPr>
        <w:t xml:space="preserve"> to </w:t>
      </w:r>
      <w:r>
        <w:rPr>
          <w:rFonts w:ascii="Times New Roman" w:hAnsi="Times New Roman"/>
          <w:sz w:val="20"/>
        </w:rPr>
        <w:t xml:space="preserve">rule out cross-carrier sidelink scheduling since each carrier needs to carry the scheduling information for the associated PSSCH, </w:t>
      </w:r>
      <w:r w:rsidR="00CC41A2">
        <w:rPr>
          <w:rFonts w:ascii="Times New Roman" w:hAnsi="Times New Roman"/>
          <w:sz w:val="20"/>
        </w:rPr>
        <w:t xml:space="preserve">it would be helpful to confirm that in RAN2. In addition, </w:t>
      </w:r>
      <w:r>
        <w:rPr>
          <w:rFonts w:ascii="Times New Roman" w:hAnsi="Times New Roman"/>
          <w:sz w:val="20"/>
        </w:rPr>
        <w:t xml:space="preserve">it does not preclude the </w:t>
      </w:r>
      <w:r w:rsidR="006B21C6">
        <w:rPr>
          <w:rFonts w:ascii="Times New Roman" w:hAnsi="Times New Roman"/>
          <w:sz w:val="20"/>
        </w:rPr>
        <w:t xml:space="preserve">case </w:t>
      </w:r>
      <w:r w:rsidR="006B21C6" w:rsidRPr="006B21C6">
        <w:rPr>
          <w:rFonts w:ascii="Times New Roman" w:hAnsi="Times New Roman"/>
          <w:sz w:val="20"/>
        </w:rPr>
        <w:t>when PSCCH transmitted jointly with PSSCH on one carrier points to PSCCH/PSSCH on another carrier</w:t>
      </w:r>
      <w:r w:rsidR="006B21C6">
        <w:rPr>
          <w:rFonts w:ascii="Times New Roman" w:hAnsi="Times New Roman"/>
          <w:sz w:val="20"/>
        </w:rPr>
        <w:t xml:space="preserve">, </w:t>
      </w:r>
      <w:r w:rsidR="008C0C20">
        <w:rPr>
          <w:rFonts w:ascii="Times New Roman" w:hAnsi="Times New Roman"/>
          <w:sz w:val="20"/>
        </w:rPr>
        <w:t>which can use the same or different resources in different CCs</w:t>
      </w:r>
      <w:r w:rsidR="006B21C6">
        <w:rPr>
          <w:rFonts w:ascii="Times New Roman" w:hAnsi="Times New Roman"/>
          <w:sz w:val="20"/>
        </w:rPr>
        <w:t xml:space="preserve">. </w:t>
      </w:r>
      <w:r w:rsidR="008C0C20">
        <w:rPr>
          <w:rFonts w:ascii="Times New Roman" w:hAnsi="Times New Roman"/>
          <w:sz w:val="20"/>
        </w:rPr>
        <w:t xml:space="preserve">Possible interpretations of this are illustrated in Figure 1, whereby (a) seems to be precluded, i.e. each carrier carries PSCCH and </w:t>
      </w:r>
      <w:r w:rsidR="004A5914">
        <w:rPr>
          <w:rFonts w:ascii="Times New Roman" w:hAnsi="Times New Roman"/>
          <w:sz w:val="20"/>
        </w:rPr>
        <w:t>its</w:t>
      </w:r>
      <w:r w:rsidR="008C0C20">
        <w:rPr>
          <w:rFonts w:ascii="Times New Roman" w:hAnsi="Times New Roman"/>
          <w:sz w:val="20"/>
        </w:rPr>
        <w:t xml:space="preserve"> associated PSSCH. The other options represent the cas</w:t>
      </w:r>
      <w:r w:rsidR="004A5914">
        <w:rPr>
          <w:rFonts w:ascii="Times New Roman" w:hAnsi="Times New Roman"/>
          <w:sz w:val="20"/>
        </w:rPr>
        <w:t>es when the scheduling over CC#2 is done on the same resources as CC#1 or different ones. In that case, it is not clear whether the PSCCH in CC#1 contains this information for scheduling and should be clarified.</w:t>
      </w:r>
    </w:p>
    <w:p w14:paraId="3E2A2D34" w14:textId="77777777" w:rsidR="008C0C20" w:rsidRDefault="008C0C20" w:rsidP="008C0C20">
      <w:pPr>
        <w:pStyle w:val="Caption"/>
        <w:keepNext/>
        <w:jc w:val="center"/>
      </w:pPr>
      <w:r>
        <w:object w:dxaOrig="11460" w:dyaOrig="9946" w14:anchorId="5A4C5A1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25pt;height:254.8pt" o:ole="">
            <v:imagedata r:id="rId12" o:title=""/>
          </v:shape>
          <o:OLEObject Type="Embed" ProgID="Visio.Drawing.15" ShapeID="_x0000_i1025" DrawAspect="Content" ObjectID="_1563992208" r:id="rId13"/>
        </w:object>
      </w:r>
    </w:p>
    <w:p w14:paraId="6DEA260B" w14:textId="094DC9FA" w:rsidR="008C0C20" w:rsidRDefault="008C0C20" w:rsidP="00DA3465">
      <w:pPr>
        <w:pStyle w:val="Caption"/>
        <w:jc w:val="center"/>
        <w:rPr>
          <w:rFonts w:ascii="Times New Roman" w:hAnsi="Times New Roman"/>
          <w:sz w:val="20"/>
        </w:rPr>
      </w:pPr>
      <w:r>
        <w:t xml:space="preserve">Figure </w:t>
      </w:r>
      <w:r>
        <w:fldChar w:fldCharType="begin"/>
      </w:r>
      <w:r>
        <w:instrText xml:space="preserve"> SEQ Figure \* ARABIC </w:instrText>
      </w:r>
      <w:r>
        <w:fldChar w:fldCharType="separate"/>
      </w:r>
      <w:r>
        <w:rPr>
          <w:noProof/>
        </w:rPr>
        <w:t>1</w:t>
      </w:r>
      <w:r>
        <w:fldChar w:fldCharType="end"/>
      </w:r>
      <w:r>
        <w:t xml:space="preserve"> </w:t>
      </w:r>
      <w:r w:rsidRPr="000B37AA">
        <w:t>Possible interpretation</w:t>
      </w:r>
      <w:r>
        <w:t>s</w:t>
      </w:r>
      <w:r w:rsidRPr="000B37AA">
        <w:t xml:space="preserve"> of RAN1 agreement on carrier scheduling</w:t>
      </w:r>
      <w:r>
        <w:rPr>
          <w:rFonts w:ascii="Times New Roman" w:hAnsi="Times New Roman"/>
          <w:sz w:val="20"/>
        </w:rPr>
        <w:t xml:space="preserve"> </w:t>
      </w:r>
    </w:p>
    <w:p w14:paraId="60EF47DC" w14:textId="494C14DC" w:rsidR="00F94B7D" w:rsidRDefault="00CC41A2" w:rsidP="00BB4A45">
      <w:pPr>
        <w:rPr>
          <w:rFonts w:ascii="Times New Roman" w:hAnsi="Times New Roman"/>
          <w:sz w:val="20"/>
        </w:rPr>
      </w:pPr>
      <w:r>
        <w:rPr>
          <w:rFonts w:ascii="Times New Roman" w:hAnsi="Times New Roman"/>
          <w:sz w:val="20"/>
        </w:rPr>
        <w:t>B</w:t>
      </w:r>
      <w:r w:rsidR="008C0C20">
        <w:rPr>
          <w:rFonts w:ascii="Times New Roman" w:hAnsi="Times New Roman"/>
          <w:sz w:val="20"/>
        </w:rPr>
        <w:t xml:space="preserve">ased </w:t>
      </w:r>
      <w:r w:rsidR="006B21C6">
        <w:rPr>
          <w:rFonts w:ascii="Times New Roman" w:hAnsi="Times New Roman"/>
          <w:sz w:val="20"/>
        </w:rPr>
        <w:t xml:space="preserve">on </w:t>
      </w:r>
      <w:r w:rsidR="008C0C20">
        <w:rPr>
          <w:rFonts w:ascii="Times New Roman" w:hAnsi="Times New Roman"/>
          <w:sz w:val="20"/>
        </w:rPr>
        <w:t xml:space="preserve">ongoing </w:t>
      </w:r>
      <w:r w:rsidR="006B21C6">
        <w:rPr>
          <w:rFonts w:ascii="Times New Roman" w:hAnsi="Times New Roman"/>
          <w:sz w:val="20"/>
        </w:rPr>
        <w:t>discussions and agreements made in RAN1</w:t>
      </w:r>
      <w:r w:rsidR="008C0C20">
        <w:rPr>
          <w:rFonts w:ascii="Times New Roman" w:hAnsi="Times New Roman"/>
          <w:sz w:val="20"/>
        </w:rPr>
        <w:t xml:space="preserve"> so far</w:t>
      </w:r>
      <w:sdt>
        <w:sdtPr>
          <w:rPr>
            <w:rFonts w:ascii="Times New Roman" w:hAnsi="Times New Roman"/>
            <w:sz w:val="20"/>
          </w:rPr>
          <w:id w:val="412207577"/>
          <w:citation/>
        </w:sdtPr>
        <w:sdtEndPr/>
        <w:sdtContent>
          <w:r w:rsidR="00E70758">
            <w:rPr>
              <w:rFonts w:ascii="Times New Roman" w:hAnsi="Times New Roman"/>
              <w:sz w:val="20"/>
            </w:rPr>
            <w:fldChar w:fldCharType="begin"/>
          </w:r>
          <w:r w:rsidR="00E70758">
            <w:rPr>
              <w:rFonts w:ascii="Times New Roman" w:hAnsi="Times New Roman"/>
              <w:sz w:val="20"/>
            </w:rPr>
            <w:instrText xml:space="preserve"> CITATION chairmanNotesR1 \l 1033 </w:instrText>
          </w:r>
          <w:r w:rsidR="00E70758">
            <w:rPr>
              <w:rFonts w:ascii="Times New Roman" w:hAnsi="Times New Roman"/>
              <w:sz w:val="20"/>
            </w:rPr>
            <w:fldChar w:fldCharType="separate"/>
          </w:r>
          <w:r w:rsidR="00E70758">
            <w:rPr>
              <w:rFonts w:ascii="Times New Roman" w:hAnsi="Times New Roman"/>
              <w:noProof/>
              <w:sz w:val="20"/>
            </w:rPr>
            <w:t xml:space="preserve"> </w:t>
          </w:r>
          <w:r w:rsidR="00E70758" w:rsidRPr="00E70758">
            <w:rPr>
              <w:rFonts w:ascii="Times New Roman" w:hAnsi="Times New Roman"/>
              <w:noProof/>
              <w:sz w:val="20"/>
            </w:rPr>
            <w:t>[2]</w:t>
          </w:r>
          <w:r w:rsidR="00E70758">
            <w:rPr>
              <w:rFonts w:ascii="Times New Roman" w:hAnsi="Times New Roman"/>
              <w:sz w:val="20"/>
            </w:rPr>
            <w:fldChar w:fldCharType="end"/>
          </w:r>
        </w:sdtContent>
      </w:sdt>
      <w:r w:rsidR="006B21C6">
        <w:rPr>
          <w:rFonts w:ascii="Times New Roman" w:hAnsi="Times New Roman"/>
          <w:sz w:val="20"/>
        </w:rPr>
        <w:t xml:space="preserve">, </w:t>
      </w:r>
      <w:r w:rsidR="008C0C20">
        <w:rPr>
          <w:rFonts w:ascii="Times New Roman" w:hAnsi="Times New Roman"/>
          <w:sz w:val="20"/>
        </w:rPr>
        <w:t>each transmission over different CCs could contain the same or different TBs. T</w:t>
      </w:r>
      <w:r w:rsidR="006B21C6">
        <w:rPr>
          <w:rFonts w:ascii="Times New Roman" w:hAnsi="Times New Roman"/>
          <w:sz w:val="20"/>
        </w:rPr>
        <w:t xml:space="preserve">his could correspond to parallel transmission of MAC PDUs over different carriers with </w:t>
      </w:r>
      <w:r w:rsidR="00770295">
        <w:rPr>
          <w:rFonts w:ascii="Times New Roman" w:hAnsi="Times New Roman"/>
          <w:sz w:val="20"/>
        </w:rPr>
        <w:t xml:space="preserve">either the </w:t>
      </w:r>
      <w:r w:rsidR="006B21C6">
        <w:rPr>
          <w:rFonts w:ascii="Times New Roman" w:hAnsi="Times New Roman"/>
          <w:sz w:val="20"/>
        </w:rPr>
        <w:t xml:space="preserve">same or different payloads, which would impart </w:t>
      </w:r>
      <w:r w:rsidR="00770295">
        <w:rPr>
          <w:rFonts w:ascii="Times New Roman" w:hAnsi="Times New Roman"/>
          <w:sz w:val="20"/>
        </w:rPr>
        <w:t>higher</w:t>
      </w:r>
      <w:r w:rsidR="006B21C6">
        <w:rPr>
          <w:rFonts w:ascii="Times New Roman" w:hAnsi="Times New Roman"/>
          <w:sz w:val="20"/>
        </w:rPr>
        <w:t xml:space="preserve"> throughput and reliability respectively. Therefore, we think that it would be useful to have this discussion </w:t>
      </w:r>
      <w:r w:rsidR="009A1C03">
        <w:rPr>
          <w:rFonts w:ascii="Times New Roman" w:hAnsi="Times New Roman"/>
          <w:sz w:val="20"/>
        </w:rPr>
        <w:t>on the uses cases above</w:t>
      </w:r>
      <w:r w:rsidR="008C0C20">
        <w:rPr>
          <w:rFonts w:ascii="Times New Roman" w:hAnsi="Times New Roman"/>
          <w:sz w:val="20"/>
        </w:rPr>
        <w:t xml:space="preserve"> to clarify </w:t>
      </w:r>
      <w:r w:rsidR="00A56C72">
        <w:rPr>
          <w:rFonts w:ascii="Times New Roman" w:hAnsi="Times New Roman"/>
          <w:sz w:val="20"/>
        </w:rPr>
        <w:t xml:space="preserve">how they correspond to the set of service requirements outlined in </w:t>
      </w:r>
      <w:sdt>
        <w:sdtPr>
          <w:rPr>
            <w:rFonts w:ascii="Times New Roman" w:hAnsi="Times New Roman"/>
            <w:sz w:val="20"/>
          </w:rPr>
          <w:id w:val="542647913"/>
          <w:citation/>
        </w:sdtPr>
        <w:sdtEndPr/>
        <w:sdtContent>
          <w:r w:rsidR="00E70758">
            <w:rPr>
              <w:rFonts w:ascii="Times New Roman" w:hAnsi="Times New Roman"/>
              <w:sz w:val="20"/>
            </w:rPr>
            <w:fldChar w:fldCharType="begin"/>
          </w:r>
          <w:r w:rsidR="00E70758">
            <w:rPr>
              <w:rFonts w:ascii="Times New Roman" w:hAnsi="Times New Roman"/>
              <w:sz w:val="20"/>
            </w:rPr>
            <w:instrText xml:space="preserve"> CITATION WI \l 1033 </w:instrText>
          </w:r>
          <w:r w:rsidR="00E70758">
            <w:rPr>
              <w:rFonts w:ascii="Times New Roman" w:hAnsi="Times New Roman"/>
              <w:sz w:val="20"/>
            </w:rPr>
            <w:fldChar w:fldCharType="separate"/>
          </w:r>
          <w:r w:rsidR="00E70758" w:rsidRPr="00E70758">
            <w:rPr>
              <w:rFonts w:ascii="Times New Roman" w:hAnsi="Times New Roman"/>
              <w:noProof/>
              <w:sz w:val="20"/>
            </w:rPr>
            <w:t>[3]</w:t>
          </w:r>
          <w:r w:rsidR="00E70758">
            <w:rPr>
              <w:rFonts w:ascii="Times New Roman" w:hAnsi="Times New Roman"/>
              <w:sz w:val="20"/>
            </w:rPr>
            <w:fldChar w:fldCharType="end"/>
          </w:r>
        </w:sdtContent>
      </w:sdt>
      <w:r w:rsidR="009A1C03">
        <w:rPr>
          <w:rFonts w:ascii="Times New Roman" w:hAnsi="Times New Roman"/>
          <w:sz w:val="20"/>
        </w:rPr>
        <w:t xml:space="preserve"> and the potential impacts on RAN2 work, e.g. duplicate detection in case of packet duplication over different carriers. </w:t>
      </w:r>
    </w:p>
    <w:p w14:paraId="4FD5286D" w14:textId="3C9023E8" w:rsidR="00257333" w:rsidRDefault="008C0C20" w:rsidP="00DA3465">
      <w:pPr>
        <w:pStyle w:val="Caption"/>
        <w:keepNext/>
        <w:jc w:val="center"/>
        <w:rPr>
          <w:rFonts w:ascii="Times New Roman" w:hAnsi="Times New Roman"/>
          <w:sz w:val="20"/>
        </w:rPr>
      </w:pPr>
      <w:r>
        <w:t xml:space="preserve"> </w:t>
      </w:r>
    </w:p>
    <w:p w14:paraId="60EF47DD" w14:textId="795B04EB" w:rsidR="009340C0" w:rsidRDefault="009340C0" w:rsidP="006F53D1">
      <w:pPr>
        <w:ind w:left="1170" w:hanging="1170"/>
        <w:rPr>
          <w:rFonts w:ascii="Times New Roman" w:hAnsi="Times New Roman"/>
        </w:rPr>
      </w:pPr>
      <w:r>
        <w:rPr>
          <w:rFonts w:ascii="Times New Roman" w:eastAsia="Times New Roman" w:hAnsi="Times New Roman"/>
          <w:b/>
          <w:bCs/>
          <w:sz w:val="20"/>
          <w:szCs w:val="20"/>
          <w:u w:val="single"/>
          <w:lang w:val="en-GB" w:eastAsia="zh-CN"/>
        </w:rPr>
        <w:t>Proposal</w:t>
      </w:r>
      <w:r w:rsidR="00D20B50">
        <w:rPr>
          <w:rFonts w:ascii="Times New Roman" w:eastAsia="Times New Roman" w:hAnsi="Times New Roman"/>
          <w:b/>
          <w:bCs/>
          <w:sz w:val="20"/>
          <w:szCs w:val="20"/>
          <w:u w:val="single"/>
          <w:lang w:val="en-GB" w:eastAsia="zh-CN"/>
        </w:rPr>
        <w:t xml:space="preserve"> 4</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A56C72">
        <w:rPr>
          <w:rFonts w:ascii="Times New Roman" w:eastAsia="Times New Roman" w:hAnsi="Times New Roman"/>
          <w:bCs/>
          <w:i/>
          <w:sz w:val="20"/>
          <w:szCs w:val="20"/>
          <w:lang w:val="en-GB" w:eastAsia="zh-CN"/>
        </w:rPr>
        <w:t xml:space="preserve">RAN2 to </w:t>
      </w:r>
      <w:r w:rsidR="00CC41A2">
        <w:rPr>
          <w:rFonts w:ascii="Times New Roman" w:eastAsia="Times New Roman" w:hAnsi="Times New Roman"/>
          <w:bCs/>
          <w:i/>
          <w:sz w:val="20"/>
          <w:szCs w:val="20"/>
          <w:lang w:val="en-GB" w:eastAsia="zh-CN"/>
        </w:rPr>
        <w:t>confirm that based on RAN1 agreement, cross-carrier scheduling as in LTE carrier aggregation is not supported in sidelink.</w:t>
      </w:r>
    </w:p>
    <w:p w14:paraId="60EF47DE" w14:textId="51B41E35" w:rsidR="001C137C" w:rsidRPr="00E53137" w:rsidRDefault="00CC41A2" w:rsidP="00043F8C">
      <w:pPr>
        <w:ind w:left="1170" w:hanging="1170"/>
        <w:rPr>
          <w:rFonts w:ascii="Times New Roman" w:eastAsia="Times New Roman" w:hAnsi="Times New Roman"/>
          <w:bCs/>
          <w:i/>
          <w:sz w:val="20"/>
          <w:lang w:val="en-GB" w:eastAsia="zh-CN"/>
        </w:rPr>
      </w:pPr>
      <w:r>
        <w:rPr>
          <w:rFonts w:ascii="Times New Roman" w:eastAsia="Times New Roman" w:hAnsi="Times New Roman"/>
          <w:b/>
          <w:bCs/>
          <w:sz w:val="20"/>
          <w:szCs w:val="20"/>
          <w:u w:val="single"/>
          <w:lang w:val="en-GB" w:eastAsia="zh-CN"/>
        </w:rPr>
        <w:t>Proposal 5</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00043F8C" w:rsidRPr="00043F8C">
        <w:rPr>
          <w:rFonts w:ascii="Times New Roman" w:eastAsia="Times New Roman" w:hAnsi="Times New Roman"/>
          <w:bCs/>
          <w:i/>
          <w:sz w:val="20"/>
          <w:szCs w:val="20"/>
          <w:lang w:eastAsia="zh-CN"/>
        </w:rPr>
        <w:t>RAN2 to discuss possible scheduling operation across multiple carriers over sidelink as outlined in RAN1 agreement and their potential impacts on RAN2 work.</w:t>
      </w:r>
    </w:p>
    <w:p w14:paraId="60EF47DF" w14:textId="0E3B805E" w:rsidR="008669B1" w:rsidRDefault="008669B1" w:rsidP="004A4A78">
      <w:pPr>
        <w:pStyle w:val="Tdoc"/>
        <w:ind w:left="-90" w:firstLine="0"/>
      </w:pPr>
      <w:r w:rsidRPr="00E0063E">
        <w:lastRenderedPageBreak/>
        <w:t>Conclusion</w:t>
      </w:r>
    </w:p>
    <w:p w14:paraId="250D672A" w14:textId="33D8A74E" w:rsidR="006D136D" w:rsidRDefault="00043F8C" w:rsidP="006D136D">
      <w:r>
        <w:rPr>
          <w:rFonts w:ascii="Times New Roman" w:hAnsi="Times New Roman"/>
          <w:sz w:val="20"/>
        </w:rPr>
        <w:t xml:space="preserve">This contribution discusses carrier aggregation over sidelink and makes the following proposals: </w:t>
      </w:r>
    </w:p>
    <w:p w14:paraId="29DC797D" w14:textId="77777777" w:rsidR="00043F8C" w:rsidRPr="006F53D1" w:rsidRDefault="00043F8C" w:rsidP="00043F8C">
      <w:pPr>
        <w:ind w:left="1170" w:hanging="1170"/>
        <w:rPr>
          <w:rFonts w:ascii="Times New Roman" w:hAnsi="Times New Roman"/>
          <w:sz w:val="20"/>
        </w:rPr>
      </w:pPr>
      <w:r>
        <w:rPr>
          <w:rFonts w:ascii="Times New Roman" w:eastAsia="Times New Roman" w:hAnsi="Times New Roman"/>
          <w:b/>
          <w:bCs/>
          <w:sz w:val="20"/>
          <w:szCs w:val="20"/>
          <w:u w:val="single"/>
          <w:lang w:val="en-GB" w:eastAsia="zh-CN"/>
        </w:rPr>
        <w:t>Proposal 1</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Carrier aggregation principles in LTE should be considered as baseline for designing carrier aggregation operation over sidelink</w:t>
      </w:r>
    </w:p>
    <w:p w14:paraId="0A2D7679" w14:textId="77777777" w:rsidR="00043F8C" w:rsidRPr="006F53D1" w:rsidRDefault="00043F8C" w:rsidP="00043F8C">
      <w:pPr>
        <w:ind w:left="1170" w:hanging="1170"/>
        <w:rPr>
          <w:rFonts w:ascii="Times New Roman" w:hAnsi="Times New Roman"/>
        </w:rPr>
      </w:pPr>
      <w:r>
        <w:rPr>
          <w:rFonts w:ascii="Times New Roman" w:eastAsia="Times New Roman" w:hAnsi="Times New Roman"/>
          <w:b/>
          <w:bCs/>
          <w:sz w:val="20"/>
          <w:szCs w:val="20"/>
          <w:u w:val="single"/>
          <w:lang w:val="en-GB" w:eastAsia="zh-CN"/>
        </w:rPr>
        <w:t>Proposal 2</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concept of PCell and SCell as in LTE should be considered for carrier aggregation over PC5.</w:t>
      </w:r>
    </w:p>
    <w:p w14:paraId="0D26AD11" w14:textId="77777777" w:rsidR="00043F8C" w:rsidRDefault="00043F8C" w:rsidP="00043F8C">
      <w:pPr>
        <w:ind w:left="1170" w:hanging="1170"/>
        <w:rPr>
          <w:rFonts w:ascii="Times New Roman" w:hAnsi="Times New Roman"/>
        </w:rPr>
      </w:pPr>
      <w:r>
        <w:rPr>
          <w:rFonts w:ascii="Times New Roman" w:eastAsia="Times New Roman" w:hAnsi="Times New Roman"/>
          <w:b/>
          <w:bCs/>
          <w:sz w:val="20"/>
          <w:szCs w:val="20"/>
          <w:u w:val="single"/>
          <w:lang w:val="en-GB" w:eastAsia="zh-CN"/>
        </w:rPr>
        <w:t>Proposal 3</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The need for enhancements to Rel-14 Mode-4 operation and signalling in order to support carrier aggregation over SL should be discussed in RAN2.</w:t>
      </w:r>
    </w:p>
    <w:p w14:paraId="1FCA25FE" w14:textId="31E93315" w:rsidR="00043F8C" w:rsidRDefault="00043F8C" w:rsidP="00043F8C">
      <w:pPr>
        <w:ind w:left="1170" w:hanging="1170"/>
        <w:rPr>
          <w:rFonts w:ascii="Times New Roman" w:hAnsi="Times New Roman"/>
        </w:rPr>
      </w:pPr>
      <w:r>
        <w:rPr>
          <w:rFonts w:ascii="Times New Roman" w:eastAsia="Times New Roman" w:hAnsi="Times New Roman"/>
          <w:b/>
          <w:bCs/>
          <w:sz w:val="20"/>
          <w:szCs w:val="20"/>
          <w:u w:val="single"/>
          <w:lang w:val="en-GB" w:eastAsia="zh-CN"/>
        </w:rPr>
        <w:t>Proposal 4</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Pr>
          <w:rFonts w:ascii="Times New Roman" w:eastAsia="Times New Roman" w:hAnsi="Times New Roman"/>
          <w:bCs/>
          <w:i/>
          <w:sz w:val="20"/>
          <w:szCs w:val="20"/>
          <w:lang w:val="en-GB" w:eastAsia="zh-CN"/>
        </w:rPr>
        <w:t>RAN2 to confirm that based on RAN1 agreement, cross-carrier scheduling as in LTE carrier aggregation is not supported in sidelink.</w:t>
      </w:r>
    </w:p>
    <w:p w14:paraId="42C78FE5" w14:textId="2C97F59E" w:rsidR="00043F8C" w:rsidRPr="00DA3465" w:rsidRDefault="00043F8C" w:rsidP="00DA3465">
      <w:pPr>
        <w:ind w:left="1170" w:hanging="1170"/>
        <w:rPr>
          <w:rFonts w:ascii="Times New Roman" w:eastAsia="Times New Roman" w:hAnsi="Times New Roman"/>
          <w:bCs/>
          <w:i/>
          <w:sz w:val="20"/>
          <w:lang w:val="en-GB" w:eastAsia="zh-CN"/>
        </w:rPr>
      </w:pPr>
      <w:r>
        <w:rPr>
          <w:rFonts w:ascii="Times New Roman" w:eastAsia="Times New Roman" w:hAnsi="Times New Roman"/>
          <w:b/>
          <w:bCs/>
          <w:sz w:val="20"/>
          <w:szCs w:val="20"/>
          <w:u w:val="single"/>
          <w:lang w:val="en-GB" w:eastAsia="zh-CN"/>
        </w:rPr>
        <w:t>Proposal 5</w:t>
      </w:r>
      <w:r w:rsidRPr="001C137C">
        <w:rPr>
          <w:rFonts w:ascii="Times New Roman" w:eastAsia="Times New Roman" w:hAnsi="Times New Roman"/>
          <w:b/>
          <w:bCs/>
          <w:sz w:val="20"/>
          <w:szCs w:val="20"/>
          <w:u w:val="single"/>
          <w:lang w:val="en-GB" w:eastAsia="zh-CN"/>
        </w:rPr>
        <w:t>:</w:t>
      </w:r>
      <w:r w:rsidRPr="001C137C">
        <w:rPr>
          <w:rFonts w:ascii="Times New Roman" w:eastAsia="Times New Roman" w:hAnsi="Times New Roman"/>
          <w:b/>
          <w:bCs/>
          <w:sz w:val="20"/>
          <w:szCs w:val="20"/>
          <w:lang w:val="en-GB" w:eastAsia="zh-CN"/>
        </w:rPr>
        <w:tab/>
      </w:r>
      <w:r w:rsidRPr="00043F8C">
        <w:rPr>
          <w:rFonts w:ascii="Times New Roman" w:eastAsia="Times New Roman" w:hAnsi="Times New Roman"/>
          <w:bCs/>
          <w:i/>
          <w:sz w:val="20"/>
          <w:szCs w:val="20"/>
          <w:lang w:eastAsia="zh-CN"/>
        </w:rPr>
        <w:t>RAN2 to discuss possible scheduling operation across multiple carriers over sidelink as outlined in RAN1 agreement and their potential impacts on RAN2 work.</w:t>
      </w:r>
    </w:p>
    <w:p w14:paraId="60EF47F2" w14:textId="5A59892A" w:rsidR="008669B1" w:rsidRDefault="006D136D" w:rsidP="00DA3465">
      <w:pPr>
        <w:pStyle w:val="Tdoc"/>
        <w:ind w:left="-90" w:firstLine="0"/>
      </w:pPr>
      <w:bookmarkStart w:id="1" w:name="_Ref458739888"/>
      <w:r>
        <w:t>References</w:t>
      </w:r>
    </w:p>
    <w:p w14:paraId="5AD89194" w14:textId="77777777" w:rsidR="006D136D" w:rsidRDefault="006D136D" w:rsidP="008669B1">
      <w:pPr>
        <w:overflowPunct w:val="0"/>
        <w:autoSpaceDE w:val="0"/>
        <w:autoSpaceDN w:val="0"/>
        <w:adjustRightInd w:val="0"/>
        <w:spacing w:after="60" w:line="240" w:lineRule="auto"/>
        <w:jc w:val="both"/>
        <w:textAlignment w:val="baseline"/>
        <w:rPr>
          <w:noProof/>
          <w:sz w:val="20"/>
          <w:szCs w:val="20"/>
        </w:rPr>
      </w:pPr>
      <w:r>
        <w:rPr>
          <w:rFonts w:ascii="Times New Roman" w:hAnsi="Times New Roman"/>
          <w:sz w:val="20"/>
          <w:szCs w:val="20"/>
          <w:lang w:eastAsia="zh-CN"/>
        </w:rPr>
        <w:fldChar w:fldCharType="begin"/>
      </w:r>
      <w:r>
        <w:rPr>
          <w:rFonts w:ascii="Times New Roman" w:hAnsi="Times New Roman"/>
          <w:sz w:val="20"/>
          <w:szCs w:val="20"/>
          <w:lang w:eastAsia="zh-CN"/>
        </w:rPr>
        <w:instrText xml:space="preserve"> BIBLIOGRAPHY  \l 1033 </w:instrText>
      </w:r>
      <w:r>
        <w:rPr>
          <w:rFonts w:ascii="Times New Roman" w:hAnsi="Times New Roman"/>
          <w:sz w:val="20"/>
          <w:szCs w:val="20"/>
          <w:lang w:eastAsia="zh-CN"/>
        </w:rPr>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22"/>
        <w:gridCol w:w="9317"/>
      </w:tblGrid>
      <w:tr w:rsidR="006D136D" w14:paraId="67D31945" w14:textId="77777777">
        <w:trPr>
          <w:divId w:val="166678351"/>
          <w:tblCellSpacing w:w="15" w:type="dxa"/>
        </w:trPr>
        <w:tc>
          <w:tcPr>
            <w:tcW w:w="50" w:type="pct"/>
            <w:hideMark/>
          </w:tcPr>
          <w:p w14:paraId="1DE1D141" w14:textId="77777777" w:rsidR="006D136D" w:rsidRDefault="006D136D">
            <w:pPr>
              <w:pStyle w:val="Bibliography"/>
              <w:rPr>
                <w:noProof/>
                <w:sz w:val="24"/>
                <w:szCs w:val="24"/>
              </w:rPr>
            </w:pPr>
            <w:r>
              <w:rPr>
                <w:noProof/>
              </w:rPr>
              <w:t xml:space="preserve">[1] </w:t>
            </w:r>
          </w:p>
        </w:tc>
        <w:tc>
          <w:tcPr>
            <w:tcW w:w="0" w:type="auto"/>
            <w:hideMark/>
          </w:tcPr>
          <w:p w14:paraId="7B257A55" w14:textId="77777777" w:rsidR="006D136D" w:rsidRDefault="006D136D">
            <w:pPr>
              <w:pStyle w:val="Bibliography"/>
              <w:rPr>
                <w:noProof/>
              </w:rPr>
            </w:pPr>
            <w:r>
              <w:rPr>
                <w:noProof/>
              </w:rPr>
              <w:t xml:space="preserve">"TR 22.886, Technical Specification Group Services and System Aspects". </w:t>
            </w:r>
          </w:p>
        </w:tc>
      </w:tr>
      <w:tr w:rsidR="006D136D" w14:paraId="5A34F47A" w14:textId="77777777">
        <w:trPr>
          <w:divId w:val="166678351"/>
          <w:tblCellSpacing w:w="15" w:type="dxa"/>
        </w:trPr>
        <w:tc>
          <w:tcPr>
            <w:tcW w:w="50" w:type="pct"/>
            <w:hideMark/>
          </w:tcPr>
          <w:p w14:paraId="287D58CA" w14:textId="77777777" w:rsidR="006D136D" w:rsidRDefault="006D136D">
            <w:pPr>
              <w:pStyle w:val="Bibliography"/>
              <w:rPr>
                <w:noProof/>
              </w:rPr>
            </w:pPr>
            <w:r>
              <w:rPr>
                <w:noProof/>
              </w:rPr>
              <w:t xml:space="preserve">[2] </w:t>
            </w:r>
          </w:p>
        </w:tc>
        <w:tc>
          <w:tcPr>
            <w:tcW w:w="0" w:type="auto"/>
            <w:hideMark/>
          </w:tcPr>
          <w:p w14:paraId="6BC4065C" w14:textId="77777777" w:rsidR="006D136D" w:rsidRDefault="006D136D">
            <w:pPr>
              <w:pStyle w:val="Bibliography"/>
              <w:rPr>
                <w:noProof/>
              </w:rPr>
            </w:pPr>
            <w:r>
              <w:rPr>
                <w:noProof/>
              </w:rPr>
              <w:t xml:space="preserve">"R1-1709688, Chairman's notes of AI 6.2.3 3GPP V2X Phase 2". </w:t>
            </w:r>
          </w:p>
        </w:tc>
      </w:tr>
      <w:tr w:rsidR="006D136D" w14:paraId="774C5319" w14:textId="77777777">
        <w:trPr>
          <w:divId w:val="166678351"/>
          <w:tblCellSpacing w:w="15" w:type="dxa"/>
        </w:trPr>
        <w:tc>
          <w:tcPr>
            <w:tcW w:w="50" w:type="pct"/>
            <w:hideMark/>
          </w:tcPr>
          <w:p w14:paraId="3C93CC4E" w14:textId="77777777" w:rsidR="006D136D" w:rsidRDefault="006D136D">
            <w:pPr>
              <w:pStyle w:val="Bibliography"/>
              <w:rPr>
                <w:noProof/>
              </w:rPr>
            </w:pPr>
            <w:r>
              <w:rPr>
                <w:noProof/>
              </w:rPr>
              <w:t xml:space="preserve">[3] </w:t>
            </w:r>
          </w:p>
        </w:tc>
        <w:tc>
          <w:tcPr>
            <w:tcW w:w="0" w:type="auto"/>
            <w:hideMark/>
          </w:tcPr>
          <w:p w14:paraId="0D1199F7" w14:textId="77777777" w:rsidR="006D136D" w:rsidRDefault="006D136D">
            <w:pPr>
              <w:pStyle w:val="Bibliography"/>
              <w:rPr>
                <w:noProof/>
              </w:rPr>
            </w:pPr>
            <w:r>
              <w:rPr>
                <w:noProof/>
              </w:rPr>
              <w:t xml:space="preserve">"RP-171069, WI: V2X phase 2 based on LTE". </w:t>
            </w:r>
          </w:p>
        </w:tc>
      </w:tr>
    </w:tbl>
    <w:p w14:paraId="461CD307" w14:textId="77777777" w:rsidR="006D136D" w:rsidRDefault="006D136D">
      <w:pPr>
        <w:divId w:val="166678351"/>
        <w:rPr>
          <w:rFonts w:eastAsia="Times New Roman"/>
          <w:noProof/>
        </w:rPr>
      </w:pPr>
    </w:p>
    <w:p w14:paraId="60EF47F3" w14:textId="2FF5AC94" w:rsidR="008669B1" w:rsidRPr="00E0063E" w:rsidRDefault="006D136D" w:rsidP="008669B1">
      <w:pPr>
        <w:overflowPunct w:val="0"/>
        <w:autoSpaceDE w:val="0"/>
        <w:autoSpaceDN w:val="0"/>
        <w:adjustRightInd w:val="0"/>
        <w:spacing w:after="60" w:line="240" w:lineRule="auto"/>
        <w:jc w:val="both"/>
        <w:textAlignment w:val="baseline"/>
        <w:rPr>
          <w:rFonts w:ascii="Times New Roman" w:hAnsi="Times New Roman"/>
          <w:sz w:val="20"/>
          <w:szCs w:val="20"/>
          <w:lang w:eastAsia="zh-CN"/>
        </w:rPr>
      </w:pPr>
      <w:r>
        <w:rPr>
          <w:rFonts w:ascii="Times New Roman" w:hAnsi="Times New Roman"/>
          <w:sz w:val="20"/>
          <w:szCs w:val="20"/>
          <w:lang w:eastAsia="zh-CN"/>
        </w:rPr>
        <w:fldChar w:fldCharType="end"/>
      </w:r>
    </w:p>
    <w:bookmarkEnd w:id="1"/>
    <w:p w14:paraId="60EF47F4" w14:textId="77777777" w:rsidR="008669B1" w:rsidRPr="00E0063E" w:rsidRDefault="008669B1" w:rsidP="008669B1">
      <w:pPr>
        <w:overflowPunct w:val="0"/>
        <w:autoSpaceDE w:val="0"/>
        <w:autoSpaceDN w:val="0"/>
        <w:adjustRightInd w:val="0"/>
        <w:spacing w:after="180" w:line="240" w:lineRule="auto"/>
        <w:textAlignment w:val="baseline"/>
        <w:rPr>
          <w:rFonts w:ascii="Times New Roman" w:hAnsi="Times New Roman"/>
          <w:sz w:val="20"/>
          <w:szCs w:val="20"/>
          <w:lang w:val="en-GB"/>
        </w:rPr>
      </w:pPr>
    </w:p>
    <w:p w14:paraId="60EF47F5" w14:textId="77777777" w:rsidR="008669B1" w:rsidRDefault="008669B1" w:rsidP="008669B1"/>
    <w:p w14:paraId="60EF47F6" w14:textId="77777777" w:rsidR="00E0063E" w:rsidRPr="008669B1" w:rsidRDefault="00E0063E" w:rsidP="008669B1"/>
    <w:sectPr w:rsidR="00E0063E" w:rsidRPr="008669B1">
      <w:footerReference w:type="defaul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0EF47F9" w14:textId="77777777" w:rsidR="008C0C20" w:rsidRDefault="008C0C20">
      <w:pPr>
        <w:spacing w:after="0" w:line="240" w:lineRule="auto"/>
      </w:pPr>
      <w:r>
        <w:separator/>
      </w:r>
    </w:p>
  </w:endnote>
  <w:endnote w:type="continuationSeparator" w:id="0">
    <w:p w14:paraId="60EF47FA" w14:textId="77777777" w:rsidR="008C0C20" w:rsidRDefault="008C0C2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0EF47FB" w14:textId="77777777" w:rsidR="008C0C20" w:rsidRDefault="008C0C20" w:rsidP="00E0063E">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DA3465">
      <w:rPr>
        <w:rFonts w:ascii="Arial" w:hAnsi="Arial" w:cs="Arial"/>
        <w:b/>
        <w:noProof/>
        <w:sz w:val="18"/>
        <w:szCs w:val="18"/>
      </w:rPr>
      <w:t>4</w:t>
    </w:r>
    <w:r>
      <w:rPr>
        <w:rFonts w:ascii="Arial" w:hAnsi="Arial" w:cs="Arial"/>
        <w:b/>
        <w:sz w:val="18"/>
        <w:szCs w:val="18"/>
      </w:rPr>
      <w:fldChar w:fldCharType="end"/>
    </w:r>
  </w:p>
  <w:p w14:paraId="60EF47FC" w14:textId="77777777" w:rsidR="008C0C20" w:rsidRDefault="008C0C2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0EF47F7" w14:textId="77777777" w:rsidR="008C0C20" w:rsidRDefault="008C0C20">
      <w:pPr>
        <w:spacing w:after="0" w:line="240" w:lineRule="auto"/>
      </w:pPr>
      <w:r>
        <w:separator/>
      </w:r>
    </w:p>
  </w:footnote>
  <w:footnote w:type="continuationSeparator" w:id="0">
    <w:p w14:paraId="60EF47F8" w14:textId="77777777" w:rsidR="008C0C20" w:rsidRDefault="008C0C2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75C0B76"/>
    <w:multiLevelType w:val="multilevel"/>
    <w:tmpl w:val="C8BC86C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FC76B6B"/>
    <w:multiLevelType w:val="multilevel"/>
    <w:tmpl w:val="642C5F0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317B6A66"/>
    <w:multiLevelType w:val="multilevel"/>
    <w:tmpl w:val="2582445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357B6FEA"/>
    <w:multiLevelType w:val="hybridMultilevel"/>
    <w:tmpl w:val="180248BA"/>
    <w:lvl w:ilvl="0" w:tplc="07F814C4">
      <w:start w:val="1"/>
      <w:numFmt w:val="decimal"/>
      <w:lvlText w:val="%1."/>
      <w:lvlJc w:val="left"/>
      <w:pPr>
        <w:ind w:left="1619" w:hanging="360"/>
      </w:pPr>
      <w:rPr>
        <w:rFonts w:hint="default"/>
        <w:i w:val="0"/>
      </w:rPr>
    </w:lvl>
    <w:lvl w:ilvl="1" w:tplc="10090019" w:tentative="1">
      <w:start w:val="1"/>
      <w:numFmt w:val="lowerLetter"/>
      <w:lvlText w:val="%2."/>
      <w:lvlJc w:val="left"/>
      <w:pPr>
        <w:ind w:left="2339" w:hanging="360"/>
      </w:pPr>
    </w:lvl>
    <w:lvl w:ilvl="2" w:tplc="1009001B" w:tentative="1">
      <w:start w:val="1"/>
      <w:numFmt w:val="lowerRoman"/>
      <w:lvlText w:val="%3."/>
      <w:lvlJc w:val="right"/>
      <w:pPr>
        <w:ind w:left="3059" w:hanging="180"/>
      </w:pPr>
    </w:lvl>
    <w:lvl w:ilvl="3" w:tplc="1009000F" w:tentative="1">
      <w:start w:val="1"/>
      <w:numFmt w:val="decimal"/>
      <w:lvlText w:val="%4."/>
      <w:lvlJc w:val="left"/>
      <w:pPr>
        <w:ind w:left="3779" w:hanging="360"/>
      </w:pPr>
    </w:lvl>
    <w:lvl w:ilvl="4" w:tplc="10090019" w:tentative="1">
      <w:start w:val="1"/>
      <w:numFmt w:val="lowerLetter"/>
      <w:lvlText w:val="%5."/>
      <w:lvlJc w:val="left"/>
      <w:pPr>
        <w:ind w:left="4499" w:hanging="360"/>
      </w:pPr>
    </w:lvl>
    <w:lvl w:ilvl="5" w:tplc="1009001B" w:tentative="1">
      <w:start w:val="1"/>
      <w:numFmt w:val="lowerRoman"/>
      <w:lvlText w:val="%6."/>
      <w:lvlJc w:val="right"/>
      <w:pPr>
        <w:ind w:left="5219" w:hanging="180"/>
      </w:pPr>
    </w:lvl>
    <w:lvl w:ilvl="6" w:tplc="1009000F" w:tentative="1">
      <w:start w:val="1"/>
      <w:numFmt w:val="decimal"/>
      <w:lvlText w:val="%7."/>
      <w:lvlJc w:val="left"/>
      <w:pPr>
        <w:ind w:left="5939" w:hanging="360"/>
      </w:pPr>
    </w:lvl>
    <w:lvl w:ilvl="7" w:tplc="10090019" w:tentative="1">
      <w:start w:val="1"/>
      <w:numFmt w:val="lowerLetter"/>
      <w:lvlText w:val="%8."/>
      <w:lvlJc w:val="left"/>
      <w:pPr>
        <w:ind w:left="6659" w:hanging="360"/>
      </w:pPr>
    </w:lvl>
    <w:lvl w:ilvl="8" w:tplc="1009001B" w:tentative="1">
      <w:start w:val="1"/>
      <w:numFmt w:val="lowerRoman"/>
      <w:lvlText w:val="%9."/>
      <w:lvlJc w:val="right"/>
      <w:pPr>
        <w:ind w:left="7379" w:hanging="180"/>
      </w:pPr>
    </w:lvl>
  </w:abstractNum>
  <w:abstractNum w:abstractNumId="4" w15:restartNumberingAfterBreak="0">
    <w:nsid w:val="40A10F3B"/>
    <w:multiLevelType w:val="hybridMultilevel"/>
    <w:tmpl w:val="D51E6D9E"/>
    <w:lvl w:ilvl="0" w:tplc="B21C8E80">
      <w:start w:val="1"/>
      <w:numFmt w:val="bullet"/>
      <w:lvlText w:val="•"/>
      <w:lvlJc w:val="left"/>
      <w:pPr>
        <w:tabs>
          <w:tab w:val="num" w:pos="720"/>
        </w:tabs>
        <w:ind w:left="720" w:hanging="360"/>
      </w:pPr>
      <w:rPr>
        <w:rFonts w:ascii="Arial" w:hAnsi="Arial" w:cs="Times New Roman" w:hint="default"/>
      </w:rPr>
    </w:lvl>
    <w:lvl w:ilvl="1" w:tplc="40AC8826">
      <w:numFmt w:val="bullet"/>
      <w:lvlText w:val="•"/>
      <w:lvlJc w:val="left"/>
      <w:pPr>
        <w:tabs>
          <w:tab w:val="num" w:pos="1440"/>
        </w:tabs>
        <w:ind w:left="1440" w:hanging="360"/>
      </w:pPr>
      <w:rPr>
        <w:rFonts w:ascii="Arial" w:hAnsi="Arial" w:cs="Times New Roman" w:hint="default"/>
      </w:rPr>
    </w:lvl>
    <w:lvl w:ilvl="2" w:tplc="A338043A">
      <w:numFmt w:val="bullet"/>
      <w:lvlText w:val="•"/>
      <w:lvlJc w:val="left"/>
      <w:pPr>
        <w:tabs>
          <w:tab w:val="num" w:pos="2160"/>
        </w:tabs>
        <w:ind w:left="2160" w:hanging="360"/>
      </w:pPr>
      <w:rPr>
        <w:rFonts w:ascii="Arial" w:hAnsi="Arial" w:cs="Times New Roman" w:hint="default"/>
      </w:rPr>
    </w:lvl>
    <w:lvl w:ilvl="3" w:tplc="9AF4EF16">
      <w:start w:val="1"/>
      <w:numFmt w:val="bullet"/>
      <w:lvlText w:val="•"/>
      <w:lvlJc w:val="left"/>
      <w:pPr>
        <w:tabs>
          <w:tab w:val="num" w:pos="2880"/>
        </w:tabs>
        <w:ind w:left="2880" w:hanging="360"/>
      </w:pPr>
      <w:rPr>
        <w:rFonts w:ascii="Arial" w:hAnsi="Arial" w:cs="Times New Roman" w:hint="default"/>
      </w:rPr>
    </w:lvl>
    <w:lvl w:ilvl="4" w:tplc="C75CB2C2">
      <w:start w:val="1"/>
      <w:numFmt w:val="bullet"/>
      <w:lvlText w:val="•"/>
      <w:lvlJc w:val="left"/>
      <w:pPr>
        <w:tabs>
          <w:tab w:val="num" w:pos="3600"/>
        </w:tabs>
        <w:ind w:left="3600" w:hanging="360"/>
      </w:pPr>
      <w:rPr>
        <w:rFonts w:ascii="Arial" w:hAnsi="Arial" w:cs="Times New Roman" w:hint="default"/>
      </w:rPr>
    </w:lvl>
    <w:lvl w:ilvl="5" w:tplc="5AF86198">
      <w:start w:val="1"/>
      <w:numFmt w:val="bullet"/>
      <w:lvlText w:val="•"/>
      <w:lvlJc w:val="left"/>
      <w:pPr>
        <w:tabs>
          <w:tab w:val="num" w:pos="4320"/>
        </w:tabs>
        <w:ind w:left="4320" w:hanging="360"/>
      </w:pPr>
      <w:rPr>
        <w:rFonts w:ascii="Arial" w:hAnsi="Arial" w:cs="Times New Roman" w:hint="default"/>
      </w:rPr>
    </w:lvl>
    <w:lvl w:ilvl="6" w:tplc="7032A646">
      <w:start w:val="1"/>
      <w:numFmt w:val="bullet"/>
      <w:lvlText w:val="•"/>
      <w:lvlJc w:val="left"/>
      <w:pPr>
        <w:tabs>
          <w:tab w:val="num" w:pos="5040"/>
        </w:tabs>
        <w:ind w:left="5040" w:hanging="360"/>
      </w:pPr>
      <w:rPr>
        <w:rFonts w:ascii="Arial" w:hAnsi="Arial" w:cs="Times New Roman" w:hint="default"/>
      </w:rPr>
    </w:lvl>
    <w:lvl w:ilvl="7" w:tplc="5142A49A">
      <w:start w:val="1"/>
      <w:numFmt w:val="bullet"/>
      <w:lvlText w:val="•"/>
      <w:lvlJc w:val="left"/>
      <w:pPr>
        <w:tabs>
          <w:tab w:val="num" w:pos="5760"/>
        </w:tabs>
        <w:ind w:left="5760" w:hanging="360"/>
      </w:pPr>
      <w:rPr>
        <w:rFonts w:ascii="Arial" w:hAnsi="Arial" w:cs="Times New Roman" w:hint="default"/>
      </w:rPr>
    </w:lvl>
    <w:lvl w:ilvl="8" w:tplc="411EA638">
      <w:start w:val="1"/>
      <w:numFmt w:val="bullet"/>
      <w:lvlText w:val="•"/>
      <w:lvlJc w:val="left"/>
      <w:pPr>
        <w:tabs>
          <w:tab w:val="num" w:pos="6480"/>
        </w:tabs>
        <w:ind w:left="6480" w:hanging="360"/>
      </w:pPr>
      <w:rPr>
        <w:rFonts w:ascii="Arial" w:hAnsi="Arial" w:cs="Times New Roman" w:hint="default"/>
      </w:rPr>
    </w:lvl>
  </w:abstractNum>
  <w:abstractNum w:abstractNumId="5" w15:restartNumberingAfterBreak="0">
    <w:nsid w:val="50D01173"/>
    <w:multiLevelType w:val="hybridMultilevel"/>
    <w:tmpl w:val="3BC2DDE0"/>
    <w:lvl w:ilvl="0" w:tplc="7D0C9752">
      <w:start w:val="1"/>
      <w:numFmt w:val="decimal"/>
      <w:pStyle w:val="Tdoc"/>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7726A50"/>
    <w:multiLevelType w:val="hybridMultilevel"/>
    <w:tmpl w:val="9260EAB0"/>
    <w:lvl w:ilvl="0" w:tplc="2098EA68">
      <w:start w:val="1"/>
      <w:numFmt w:val="bullet"/>
      <w:lvlText w:val="•"/>
      <w:lvlJc w:val="left"/>
      <w:pPr>
        <w:tabs>
          <w:tab w:val="num" w:pos="720"/>
        </w:tabs>
        <w:ind w:left="720" w:hanging="360"/>
      </w:pPr>
      <w:rPr>
        <w:rFonts w:ascii="Arial" w:hAnsi="Arial" w:cs="Times New Roman" w:hint="default"/>
      </w:rPr>
    </w:lvl>
    <w:lvl w:ilvl="1" w:tplc="50D21FF0">
      <w:start w:val="1"/>
      <w:numFmt w:val="bullet"/>
      <w:lvlText w:val="•"/>
      <w:lvlJc w:val="left"/>
      <w:pPr>
        <w:tabs>
          <w:tab w:val="num" w:pos="1440"/>
        </w:tabs>
        <w:ind w:left="1440" w:hanging="360"/>
      </w:pPr>
      <w:rPr>
        <w:rFonts w:ascii="Arial" w:hAnsi="Arial" w:cs="Times New Roman" w:hint="default"/>
      </w:rPr>
    </w:lvl>
    <w:lvl w:ilvl="2" w:tplc="8C1A2DFC">
      <w:start w:val="1"/>
      <w:numFmt w:val="bullet"/>
      <w:lvlText w:val="•"/>
      <w:lvlJc w:val="left"/>
      <w:pPr>
        <w:tabs>
          <w:tab w:val="num" w:pos="2160"/>
        </w:tabs>
        <w:ind w:left="2160" w:hanging="360"/>
      </w:pPr>
      <w:rPr>
        <w:rFonts w:ascii="Arial" w:hAnsi="Arial" w:cs="Times New Roman" w:hint="default"/>
      </w:rPr>
    </w:lvl>
    <w:lvl w:ilvl="3" w:tplc="9D0C7AFC">
      <w:start w:val="1"/>
      <w:numFmt w:val="bullet"/>
      <w:lvlText w:val="•"/>
      <w:lvlJc w:val="left"/>
      <w:pPr>
        <w:tabs>
          <w:tab w:val="num" w:pos="2880"/>
        </w:tabs>
        <w:ind w:left="2880" w:hanging="360"/>
      </w:pPr>
      <w:rPr>
        <w:rFonts w:ascii="Arial" w:hAnsi="Arial" w:cs="Times New Roman" w:hint="default"/>
      </w:rPr>
    </w:lvl>
    <w:lvl w:ilvl="4" w:tplc="B158EBFC">
      <w:start w:val="1"/>
      <w:numFmt w:val="bullet"/>
      <w:lvlText w:val="•"/>
      <w:lvlJc w:val="left"/>
      <w:pPr>
        <w:tabs>
          <w:tab w:val="num" w:pos="3600"/>
        </w:tabs>
        <w:ind w:left="3600" w:hanging="360"/>
      </w:pPr>
      <w:rPr>
        <w:rFonts w:ascii="Arial" w:hAnsi="Arial" w:cs="Times New Roman" w:hint="default"/>
      </w:rPr>
    </w:lvl>
    <w:lvl w:ilvl="5" w:tplc="D9401CA2">
      <w:start w:val="1"/>
      <w:numFmt w:val="bullet"/>
      <w:lvlText w:val="•"/>
      <w:lvlJc w:val="left"/>
      <w:pPr>
        <w:tabs>
          <w:tab w:val="num" w:pos="4320"/>
        </w:tabs>
        <w:ind w:left="4320" w:hanging="360"/>
      </w:pPr>
      <w:rPr>
        <w:rFonts w:ascii="Arial" w:hAnsi="Arial" w:cs="Times New Roman" w:hint="default"/>
      </w:rPr>
    </w:lvl>
    <w:lvl w:ilvl="6" w:tplc="D922A9BE">
      <w:start w:val="1"/>
      <w:numFmt w:val="bullet"/>
      <w:lvlText w:val="•"/>
      <w:lvlJc w:val="left"/>
      <w:pPr>
        <w:tabs>
          <w:tab w:val="num" w:pos="5040"/>
        </w:tabs>
        <w:ind w:left="5040" w:hanging="360"/>
      </w:pPr>
      <w:rPr>
        <w:rFonts w:ascii="Arial" w:hAnsi="Arial" w:cs="Times New Roman" w:hint="default"/>
      </w:rPr>
    </w:lvl>
    <w:lvl w:ilvl="7" w:tplc="7DE64E50">
      <w:start w:val="1"/>
      <w:numFmt w:val="bullet"/>
      <w:lvlText w:val="•"/>
      <w:lvlJc w:val="left"/>
      <w:pPr>
        <w:tabs>
          <w:tab w:val="num" w:pos="5760"/>
        </w:tabs>
        <w:ind w:left="5760" w:hanging="360"/>
      </w:pPr>
      <w:rPr>
        <w:rFonts w:ascii="Arial" w:hAnsi="Arial" w:cs="Times New Roman" w:hint="default"/>
      </w:rPr>
    </w:lvl>
    <w:lvl w:ilvl="8" w:tplc="B7F85D2C">
      <w:start w:val="1"/>
      <w:numFmt w:val="bullet"/>
      <w:lvlText w:val="•"/>
      <w:lvlJc w:val="left"/>
      <w:pPr>
        <w:tabs>
          <w:tab w:val="num" w:pos="6480"/>
        </w:tabs>
        <w:ind w:left="6480" w:hanging="360"/>
      </w:pPr>
      <w:rPr>
        <w:rFonts w:ascii="Arial" w:hAnsi="Arial" w:cs="Times New Roman" w:hint="default"/>
      </w:rPr>
    </w:lvl>
  </w:abstractNum>
  <w:abstractNum w:abstractNumId="7" w15:restartNumberingAfterBreak="0">
    <w:nsid w:val="5A083D2D"/>
    <w:multiLevelType w:val="hybridMultilevel"/>
    <w:tmpl w:val="65B08F76"/>
    <w:lvl w:ilvl="0" w:tplc="98403FF8">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82D40B0"/>
    <w:multiLevelType w:val="hybridMultilevel"/>
    <w:tmpl w:val="9910629E"/>
    <w:lvl w:ilvl="0" w:tplc="0409000F">
      <w:start w:val="1"/>
      <w:numFmt w:val="decimal"/>
      <w:lvlText w:val="%1."/>
      <w:lvlJc w:val="left"/>
      <w:pPr>
        <w:ind w:left="420" w:hanging="420"/>
      </w:pPr>
    </w:lvl>
    <w:lvl w:ilvl="1" w:tplc="D5CC86C0">
      <w:start w:val="1"/>
      <w:numFmt w:val="lowerLetter"/>
      <w:lvlText w:val="%2)"/>
      <w:lvlJc w:val="left"/>
      <w:pPr>
        <w:ind w:left="840" w:hanging="420"/>
      </w:pPr>
      <w:rPr>
        <w:lang w:val="en-US"/>
      </w:rPr>
    </w:lvl>
    <w:lvl w:ilvl="2" w:tplc="0409001B">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24E5BC3"/>
    <w:multiLevelType w:val="hybridMultilevel"/>
    <w:tmpl w:val="90F4834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9"/>
  </w:num>
  <w:num w:numId="2">
    <w:abstractNumId w:val="7"/>
  </w:num>
  <w:num w:numId="3">
    <w:abstractNumId w:val="3"/>
  </w:num>
  <w:num w:numId="4">
    <w:abstractNumId w:val="2"/>
  </w:num>
  <w:num w:numId="5">
    <w:abstractNumId w:val="0"/>
    <w:lvlOverride w:ilvl="0">
      <w:startOverride w:val="1"/>
    </w:lvlOverride>
  </w:num>
  <w:num w:numId="6">
    <w:abstractNumId w:val="1"/>
    <w:lvlOverride w:ilvl="0">
      <w:startOverride w:val="2"/>
    </w:lvlOverride>
  </w:num>
  <w:num w:numId="7">
    <w:abstractNumId w:val="8"/>
  </w:num>
  <w:num w:numId="8">
    <w:abstractNumId w:val="6"/>
  </w:num>
  <w:num w:numId="9">
    <w:abstractNumId w:val="4"/>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bordersDoNotSurroundHeader/>
  <w:bordersDoNotSurroundFooter/>
  <w:defaultTabStop w:val="720"/>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573C2"/>
    <w:rsid w:val="00001F9E"/>
    <w:rsid w:val="00020BB3"/>
    <w:rsid w:val="000232B5"/>
    <w:rsid w:val="000270B0"/>
    <w:rsid w:val="00031A47"/>
    <w:rsid w:val="00043F8C"/>
    <w:rsid w:val="00066057"/>
    <w:rsid w:val="0007355E"/>
    <w:rsid w:val="00096596"/>
    <w:rsid w:val="000F5A71"/>
    <w:rsid w:val="00100001"/>
    <w:rsid w:val="00133829"/>
    <w:rsid w:val="00136F78"/>
    <w:rsid w:val="00142882"/>
    <w:rsid w:val="00154E29"/>
    <w:rsid w:val="001672FC"/>
    <w:rsid w:val="00174865"/>
    <w:rsid w:val="0019188A"/>
    <w:rsid w:val="00195430"/>
    <w:rsid w:val="001B7E53"/>
    <w:rsid w:val="001C137C"/>
    <w:rsid w:val="001E221E"/>
    <w:rsid w:val="001E5CA5"/>
    <w:rsid w:val="002049D9"/>
    <w:rsid w:val="0020567B"/>
    <w:rsid w:val="00242773"/>
    <w:rsid w:val="00257333"/>
    <w:rsid w:val="00260222"/>
    <w:rsid w:val="00261015"/>
    <w:rsid w:val="00276574"/>
    <w:rsid w:val="00285D82"/>
    <w:rsid w:val="00291433"/>
    <w:rsid w:val="00293EC9"/>
    <w:rsid w:val="002A34DB"/>
    <w:rsid w:val="002B51AD"/>
    <w:rsid w:val="002F04F8"/>
    <w:rsid w:val="002F153B"/>
    <w:rsid w:val="002F432E"/>
    <w:rsid w:val="002F575F"/>
    <w:rsid w:val="00323003"/>
    <w:rsid w:val="00336D1D"/>
    <w:rsid w:val="00344D3D"/>
    <w:rsid w:val="00392D6E"/>
    <w:rsid w:val="003A766F"/>
    <w:rsid w:val="003B6208"/>
    <w:rsid w:val="003D76A8"/>
    <w:rsid w:val="00415F96"/>
    <w:rsid w:val="00433DA4"/>
    <w:rsid w:val="00437AB1"/>
    <w:rsid w:val="00445B7E"/>
    <w:rsid w:val="004504B4"/>
    <w:rsid w:val="00453DB6"/>
    <w:rsid w:val="00460EBA"/>
    <w:rsid w:val="00487FF0"/>
    <w:rsid w:val="0049247B"/>
    <w:rsid w:val="004A4A78"/>
    <w:rsid w:val="004A5914"/>
    <w:rsid w:val="004B2F1A"/>
    <w:rsid w:val="00504AB4"/>
    <w:rsid w:val="005067A7"/>
    <w:rsid w:val="005107D4"/>
    <w:rsid w:val="005117DA"/>
    <w:rsid w:val="00516777"/>
    <w:rsid w:val="00533422"/>
    <w:rsid w:val="00542BF0"/>
    <w:rsid w:val="0055706A"/>
    <w:rsid w:val="00593190"/>
    <w:rsid w:val="005A4656"/>
    <w:rsid w:val="005F262D"/>
    <w:rsid w:val="006242D5"/>
    <w:rsid w:val="006319C2"/>
    <w:rsid w:val="00667231"/>
    <w:rsid w:val="00683A4C"/>
    <w:rsid w:val="00687129"/>
    <w:rsid w:val="006A27E5"/>
    <w:rsid w:val="006B21C6"/>
    <w:rsid w:val="006C551C"/>
    <w:rsid w:val="006D0058"/>
    <w:rsid w:val="006D136D"/>
    <w:rsid w:val="006F2CDA"/>
    <w:rsid w:val="006F53D1"/>
    <w:rsid w:val="0071408B"/>
    <w:rsid w:val="00732A41"/>
    <w:rsid w:val="0076605A"/>
    <w:rsid w:val="00770295"/>
    <w:rsid w:val="00783A80"/>
    <w:rsid w:val="00783F29"/>
    <w:rsid w:val="00792327"/>
    <w:rsid w:val="00797358"/>
    <w:rsid w:val="007A49CD"/>
    <w:rsid w:val="007C6E5A"/>
    <w:rsid w:val="00827742"/>
    <w:rsid w:val="0083198E"/>
    <w:rsid w:val="008669B1"/>
    <w:rsid w:val="008775ED"/>
    <w:rsid w:val="008A3B9F"/>
    <w:rsid w:val="008C0C20"/>
    <w:rsid w:val="008C7B03"/>
    <w:rsid w:val="00910B7A"/>
    <w:rsid w:val="00912C36"/>
    <w:rsid w:val="0092329B"/>
    <w:rsid w:val="00925869"/>
    <w:rsid w:val="00930C49"/>
    <w:rsid w:val="009340C0"/>
    <w:rsid w:val="00952743"/>
    <w:rsid w:val="00955F6D"/>
    <w:rsid w:val="009573C2"/>
    <w:rsid w:val="00990376"/>
    <w:rsid w:val="009A1C03"/>
    <w:rsid w:val="009C4D8E"/>
    <w:rsid w:val="009E7171"/>
    <w:rsid w:val="009F758B"/>
    <w:rsid w:val="00A0649F"/>
    <w:rsid w:val="00A1125D"/>
    <w:rsid w:val="00A44954"/>
    <w:rsid w:val="00A5035B"/>
    <w:rsid w:val="00A56C72"/>
    <w:rsid w:val="00A62968"/>
    <w:rsid w:val="00A63B12"/>
    <w:rsid w:val="00A824AF"/>
    <w:rsid w:val="00A86A88"/>
    <w:rsid w:val="00A86D91"/>
    <w:rsid w:val="00AC4F72"/>
    <w:rsid w:val="00AF256D"/>
    <w:rsid w:val="00B45EDF"/>
    <w:rsid w:val="00B65189"/>
    <w:rsid w:val="00B74D9C"/>
    <w:rsid w:val="00B76EA2"/>
    <w:rsid w:val="00B8326D"/>
    <w:rsid w:val="00BB4A45"/>
    <w:rsid w:val="00BF1A22"/>
    <w:rsid w:val="00C0320F"/>
    <w:rsid w:val="00C06CFA"/>
    <w:rsid w:val="00C12D8A"/>
    <w:rsid w:val="00C52641"/>
    <w:rsid w:val="00C67B49"/>
    <w:rsid w:val="00C839B7"/>
    <w:rsid w:val="00C87617"/>
    <w:rsid w:val="00C90D45"/>
    <w:rsid w:val="00C96E5D"/>
    <w:rsid w:val="00CB6AB5"/>
    <w:rsid w:val="00CC41A2"/>
    <w:rsid w:val="00CE70AB"/>
    <w:rsid w:val="00D20B50"/>
    <w:rsid w:val="00D30D35"/>
    <w:rsid w:val="00D54884"/>
    <w:rsid w:val="00D65AAE"/>
    <w:rsid w:val="00D74365"/>
    <w:rsid w:val="00D75EC2"/>
    <w:rsid w:val="00DA3465"/>
    <w:rsid w:val="00DC299B"/>
    <w:rsid w:val="00DF07FB"/>
    <w:rsid w:val="00E0063E"/>
    <w:rsid w:val="00E31E41"/>
    <w:rsid w:val="00E42BBE"/>
    <w:rsid w:val="00E53137"/>
    <w:rsid w:val="00E60548"/>
    <w:rsid w:val="00E66747"/>
    <w:rsid w:val="00E70758"/>
    <w:rsid w:val="00E936F6"/>
    <w:rsid w:val="00EA69D8"/>
    <w:rsid w:val="00ED00AF"/>
    <w:rsid w:val="00EF693B"/>
    <w:rsid w:val="00EF7688"/>
    <w:rsid w:val="00F14233"/>
    <w:rsid w:val="00F16840"/>
    <w:rsid w:val="00F421C5"/>
    <w:rsid w:val="00F63557"/>
    <w:rsid w:val="00F816DF"/>
    <w:rsid w:val="00F94B7D"/>
    <w:rsid w:val="00FD690B"/>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60EF47AE"/>
  <w15:chartTrackingRefBased/>
  <w15:docId w15:val="{446264F4-F0FB-4BF8-AD01-583C9711A9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60" w:line="259" w:lineRule="auto"/>
    </w:pPr>
    <w:rPr>
      <w:sz w:val="22"/>
      <w:szCs w:val="22"/>
    </w:rPr>
  </w:style>
  <w:style w:type="paragraph" w:styleId="Heading1">
    <w:name w:val="heading 1"/>
    <w:basedOn w:val="Normal"/>
    <w:next w:val="Normal"/>
    <w:link w:val="Heading1Char"/>
    <w:uiPriority w:val="9"/>
    <w:qFormat/>
    <w:rsid w:val="0049247B"/>
    <w:pPr>
      <w:keepNext/>
      <w:keepLines/>
      <w:spacing w:before="240" w:after="0"/>
      <w:outlineLvl w:val="0"/>
    </w:pPr>
    <w:rPr>
      <w:rFonts w:ascii="Calibri Light" w:eastAsia="Times New Roman" w:hAnsi="Calibri Light"/>
      <w:color w:val="2E74B5"/>
      <w:sz w:val="32"/>
      <w:szCs w:val="32"/>
    </w:rPr>
  </w:style>
  <w:style w:type="paragraph" w:styleId="Heading2">
    <w:name w:val="heading 2"/>
    <w:basedOn w:val="Normal"/>
    <w:next w:val="Normal"/>
    <w:link w:val="Heading2Char"/>
    <w:uiPriority w:val="9"/>
    <w:semiHidden/>
    <w:unhideWhenUsed/>
    <w:qFormat/>
    <w:rsid w:val="001C137C"/>
    <w:pPr>
      <w:keepNext/>
      <w:spacing w:before="240" w:after="60"/>
      <w:outlineLvl w:val="1"/>
    </w:pPr>
    <w:rPr>
      <w:rFonts w:ascii="Calibri Light" w:eastAsia="Times New Roman" w:hAnsi="Calibri Light"/>
      <w:b/>
      <w:bCs/>
      <w:i/>
      <w:i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E0063E"/>
    <w:pPr>
      <w:tabs>
        <w:tab w:val="center" w:pos="4680"/>
        <w:tab w:val="right" w:pos="9360"/>
      </w:tabs>
    </w:pPr>
  </w:style>
  <w:style w:type="character" w:customStyle="1" w:styleId="FooterChar">
    <w:name w:val="Footer Char"/>
    <w:link w:val="Footer"/>
    <w:uiPriority w:val="99"/>
    <w:semiHidden/>
    <w:rsid w:val="00E0063E"/>
    <w:rPr>
      <w:sz w:val="22"/>
      <w:szCs w:val="22"/>
    </w:rPr>
  </w:style>
  <w:style w:type="character" w:customStyle="1" w:styleId="Heading1Char">
    <w:name w:val="Heading 1 Char"/>
    <w:link w:val="Heading1"/>
    <w:uiPriority w:val="9"/>
    <w:rsid w:val="0049247B"/>
    <w:rPr>
      <w:rFonts w:ascii="Calibri Light" w:eastAsia="Times New Roman" w:hAnsi="Calibri Light"/>
      <w:color w:val="2E74B5"/>
      <w:sz w:val="32"/>
      <w:szCs w:val="32"/>
    </w:rPr>
  </w:style>
  <w:style w:type="paragraph" w:styleId="FootnoteText">
    <w:name w:val="footnote text"/>
    <w:basedOn w:val="Normal"/>
    <w:link w:val="FootnoteTextChar"/>
    <w:uiPriority w:val="99"/>
    <w:semiHidden/>
    <w:unhideWhenUsed/>
    <w:rsid w:val="0049247B"/>
    <w:rPr>
      <w:sz w:val="20"/>
      <w:szCs w:val="20"/>
    </w:rPr>
  </w:style>
  <w:style w:type="character" w:customStyle="1" w:styleId="FootnoteTextChar">
    <w:name w:val="Footnote Text Char"/>
    <w:basedOn w:val="DefaultParagraphFont"/>
    <w:link w:val="FootnoteText"/>
    <w:uiPriority w:val="99"/>
    <w:semiHidden/>
    <w:rsid w:val="0049247B"/>
  </w:style>
  <w:style w:type="character" w:styleId="FootnoteReference">
    <w:name w:val="footnote reference"/>
    <w:uiPriority w:val="99"/>
    <w:semiHidden/>
    <w:unhideWhenUsed/>
    <w:rsid w:val="0049247B"/>
    <w:rPr>
      <w:vertAlign w:val="superscript"/>
    </w:rPr>
  </w:style>
  <w:style w:type="paragraph" w:styleId="Bibliography">
    <w:name w:val="Bibliography"/>
    <w:basedOn w:val="Normal"/>
    <w:next w:val="Normal"/>
    <w:uiPriority w:val="37"/>
    <w:unhideWhenUsed/>
    <w:rsid w:val="0049247B"/>
  </w:style>
  <w:style w:type="paragraph" w:customStyle="1" w:styleId="Tdoc">
    <w:name w:val="Tdoc"/>
    <w:basedOn w:val="Normal"/>
    <w:link w:val="TdocChar"/>
    <w:qFormat/>
    <w:rsid w:val="0049247B"/>
    <w:pPr>
      <w:keepNext/>
      <w:keepLines/>
      <w:widowControl w:val="0"/>
      <w:numPr>
        <w:numId w:val="10"/>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Arial" w:hAnsi="Arial"/>
      <w:noProof/>
      <w:sz w:val="32"/>
      <w:szCs w:val="20"/>
      <w:lang w:eastAsia="zh-CN"/>
    </w:rPr>
  </w:style>
  <w:style w:type="character" w:customStyle="1" w:styleId="TdocChar">
    <w:name w:val="Tdoc Char"/>
    <w:link w:val="Tdoc"/>
    <w:rsid w:val="0049247B"/>
    <w:rPr>
      <w:rFonts w:ascii="Arial" w:eastAsia="Arial" w:hAnsi="Arial"/>
      <w:noProof/>
      <w:sz w:val="32"/>
      <w:lang w:eastAsia="zh-CN"/>
    </w:rPr>
  </w:style>
  <w:style w:type="character" w:styleId="CommentReference">
    <w:name w:val="annotation reference"/>
    <w:uiPriority w:val="99"/>
    <w:semiHidden/>
    <w:unhideWhenUsed/>
    <w:rsid w:val="00D30D35"/>
    <w:rPr>
      <w:sz w:val="21"/>
      <w:szCs w:val="21"/>
    </w:rPr>
  </w:style>
  <w:style w:type="paragraph" w:styleId="CommentText">
    <w:name w:val="annotation text"/>
    <w:basedOn w:val="Normal"/>
    <w:link w:val="CommentTextChar"/>
    <w:uiPriority w:val="99"/>
    <w:semiHidden/>
    <w:unhideWhenUsed/>
    <w:rsid w:val="00D30D35"/>
  </w:style>
  <w:style w:type="character" w:customStyle="1" w:styleId="CommentTextChar">
    <w:name w:val="Comment Text Char"/>
    <w:link w:val="CommentText"/>
    <w:uiPriority w:val="99"/>
    <w:semiHidden/>
    <w:rsid w:val="00D30D35"/>
    <w:rPr>
      <w:sz w:val="22"/>
      <w:szCs w:val="22"/>
    </w:rPr>
  </w:style>
  <w:style w:type="paragraph" w:styleId="CommentSubject">
    <w:name w:val="annotation subject"/>
    <w:basedOn w:val="CommentText"/>
    <w:next w:val="CommentText"/>
    <w:link w:val="CommentSubjectChar"/>
    <w:uiPriority w:val="99"/>
    <w:semiHidden/>
    <w:unhideWhenUsed/>
    <w:rsid w:val="00D30D35"/>
    <w:rPr>
      <w:b/>
      <w:bCs/>
    </w:rPr>
  </w:style>
  <w:style w:type="character" w:customStyle="1" w:styleId="CommentSubjectChar">
    <w:name w:val="Comment Subject Char"/>
    <w:link w:val="CommentSubject"/>
    <w:uiPriority w:val="99"/>
    <w:semiHidden/>
    <w:rsid w:val="00D30D35"/>
    <w:rPr>
      <w:b/>
      <w:bCs/>
      <w:sz w:val="22"/>
      <w:szCs w:val="22"/>
    </w:rPr>
  </w:style>
  <w:style w:type="paragraph" w:styleId="BalloonText">
    <w:name w:val="Balloon Text"/>
    <w:basedOn w:val="Normal"/>
    <w:link w:val="BalloonTextChar"/>
    <w:uiPriority w:val="99"/>
    <w:semiHidden/>
    <w:unhideWhenUsed/>
    <w:rsid w:val="00D30D35"/>
    <w:pPr>
      <w:spacing w:after="0" w:line="240" w:lineRule="auto"/>
    </w:pPr>
    <w:rPr>
      <w:sz w:val="18"/>
      <w:szCs w:val="18"/>
    </w:rPr>
  </w:style>
  <w:style w:type="character" w:customStyle="1" w:styleId="BalloonTextChar">
    <w:name w:val="Balloon Text Char"/>
    <w:link w:val="BalloonText"/>
    <w:uiPriority w:val="99"/>
    <w:semiHidden/>
    <w:rsid w:val="00D30D35"/>
    <w:rPr>
      <w:sz w:val="18"/>
      <w:szCs w:val="18"/>
    </w:rPr>
  </w:style>
  <w:style w:type="paragraph" w:styleId="ListParagraph">
    <w:name w:val="List Paragraph"/>
    <w:basedOn w:val="Normal"/>
    <w:uiPriority w:val="34"/>
    <w:qFormat/>
    <w:rsid w:val="00D74365"/>
    <w:pPr>
      <w:ind w:left="720"/>
      <w:contextualSpacing/>
    </w:pPr>
  </w:style>
  <w:style w:type="table" w:styleId="TableGrid">
    <w:name w:val="Table Grid"/>
    <w:basedOn w:val="TableNormal"/>
    <w:uiPriority w:val="39"/>
    <w:rsid w:val="00D743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3A766F"/>
    <w:rPr>
      <w:sz w:val="22"/>
      <w:szCs w:val="22"/>
    </w:rPr>
  </w:style>
  <w:style w:type="character" w:customStyle="1" w:styleId="Doc-text2Char">
    <w:name w:val="Doc-text2 Char"/>
    <w:link w:val="Doc-text2"/>
    <w:locked/>
    <w:rsid w:val="002F153B"/>
    <w:rPr>
      <w:rFonts w:ascii="Arial" w:eastAsia="MS Mincho" w:hAnsi="Arial" w:cs="Arial"/>
      <w:szCs w:val="24"/>
      <w:lang w:val="en-GB" w:eastAsia="en-GB"/>
    </w:rPr>
  </w:style>
  <w:style w:type="paragraph" w:customStyle="1" w:styleId="Doc-text2">
    <w:name w:val="Doc-text2"/>
    <w:basedOn w:val="Normal"/>
    <w:link w:val="Doc-text2Char"/>
    <w:qFormat/>
    <w:rsid w:val="002F153B"/>
    <w:pPr>
      <w:tabs>
        <w:tab w:val="left" w:pos="1622"/>
      </w:tabs>
      <w:spacing w:after="0" w:line="240" w:lineRule="auto"/>
      <w:ind w:left="1622" w:hanging="363"/>
    </w:pPr>
    <w:rPr>
      <w:rFonts w:ascii="Arial" w:eastAsia="MS Mincho" w:hAnsi="Arial" w:cs="Arial"/>
      <w:sz w:val="20"/>
      <w:szCs w:val="24"/>
      <w:lang w:val="en-GB" w:eastAsia="en-GB"/>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1C137C"/>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1C137C"/>
    <w:rPr>
      <w:rFonts w:ascii="Arial" w:hAnsi="Arial"/>
      <w:b/>
      <w:noProof/>
      <w:sz w:val="18"/>
    </w:rPr>
  </w:style>
  <w:style w:type="paragraph" w:customStyle="1" w:styleId="CRCoverPage">
    <w:name w:val="CR Cover Page"/>
    <w:rsid w:val="001C137C"/>
    <w:pPr>
      <w:spacing w:after="120"/>
    </w:pPr>
    <w:rPr>
      <w:rFonts w:ascii="Arial" w:eastAsia="MS Mincho" w:hAnsi="Arial"/>
      <w:lang w:val="en-GB"/>
    </w:rPr>
  </w:style>
  <w:style w:type="character" w:customStyle="1" w:styleId="Heading2Char">
    <w:name w:val="Heading 2 Char"/>
    <w:link w:val="Heading2"/>
    <w:uiPriority w:val="9"/>
    <w:semiHidden/>
    <w:rsid w:val="001C137C"/>
    <w:rPr>
      <w:rFonts w:ascii="Calibri Light" w:eastAsia="Times New Roman" w:hAnsi="Calibri Light" w:cs="Times New Roman"/>
      <w:b/>
      <w:bCs/>
      <w:i/>
      <w:iCs/>
      <w:sz w:val="28"/>
      <w:szCs w:val="28"/>
    </w:rPr>
  </w:style>
  <w:style w:type="paragraph" w:customStyle="1" w:styleId="Guidance">
    <w:name w:val="Guidance"/>
    <w:basedOn w:val="Normal"/>
    <w:rsid w:val="001C137C"/>
    <w:pPr>
      <w:spacing w:after="180" w:line="240" w:lineRule="auto"/>
    </w:pPr>
    <w:rPr>
      <w:rFonts w:ascii="Times New Roman" w:eastAsia="Malgun Gothic" w:hAnsi="Times New Roman"/>
      <w:i/>
      <w:color w:val="0000FF"/>
      <w:sz w:val="20"/>
      <w:szCs w:val="20"/>
      <w:lang w:val="en-GB"/>
    </w:rPr>
  </w:style>
  <w:style w:type="paragraph" w:styleId="NormalWeb">
    <w:name w:val="Normal (Web)"/>
    <w:basedOn w:val="Normal"/>
    <w:uiPriority w:val="99"/>
    <w:semiHidden/>
    <w:unhideWhenUsed/>
    <w:rsid w:val="00AF256D"/>
    <w:pPr>
      <w:spacing w:before="100" w:beforeAutospacing="1" w:after="100" w:afterAutospacing="1" w:line="240" w:lineRule="auto"/>
    </w:pPr>
    <w:rPr>
      <w:rFonts w:ascii="Times New Roman" w:eastAsia="Times New Roman" w:hAnsi="Times New Roman"/>
      <w:sz w:val="24"/>
      <w:szCs w:val="24"/>
    </w:rPr>
  </w:style>
  <w:style w:type="paragraph" w:styleId="Quote">
    <w:name w:val="Quote"/>
    <w:basedOn w:val="Normal"/>
    <w:next w:val="Normal"/>
    <w:link w:val="QuoteChar"/>
    <w:uiPriority w:val="29"/>
    <w:qFormat/>
    <w:rsid w:val="002049D9"/>
    <w:pPr>
      <w:spacing w:before="200"/>
      <w:ind w:left="864" w:right="864"/>
      <w:jc w:val="center"/>
    </w:pPr>
    <w:rPr>
      <w:i/>
      <w:iCs/>
      <w:color w:val="404040"/>
    </w:rPr>
  </w:style>
  <w:style w:type="character" w:customStyle="1" w:styleId="QuoteChar">
    <w:name w:val="Quote Char"/>
    <w:link w:val="Quote"/>
    <w:uiPriority w:val="29"/>
    <w:rsid w:val="002049D9"/>
    <w:rPr>
      <w:i/>
      <w:iCs/>
      <w:color w:val="404040"/>
      <w:sz w:val="22"/>
      <w:szCs w:val="22"/>
    </w:rPr>
  </w:style>
  <w:style w:type="paragraph" w:styleId="Caption">
    <w:name w:val="caption"/>
    <w:basedOn w:val="Normal"/>
    <w:next w:val="Normal"/>
    <w:uiPriority w:val="35"/>
    <w:unhideWhenUsed/>
    <w:qFormat/>
    <w:rsid w:val="008C0C20"/>
    <w:pPr>
      <w:spacing w:after="200" w:line="240" w:lineRule="auto"/>
    </w:pPr>
    <w:rPr>
      <w:i/>
      <w:iCs/>
      <w:color w:val="44546A" w:themeColor="text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2020861">
      <w:bodyDiv w:val="1"/>
      <w:marLeft w:val="0"/>
      <w:marRight w:val="0"/>
      <w:marTop w:val="0"/>
      <w:marBottom w:val="0"/>
      <w:divBdr>
        <w:top w:val="none" w:sz="0" w:space="0" w:color="auto"/>
        <w:left w:val="none" w:sz="0" w:space="0" w:color="auto"/>
        <w:bottom w:val="none" w:sz="0" w:space="0" w:color="auto"/>
        <w:right w:val="none" w:sz="0" w:space="0" w:color="auto"/>
      </w:divBdr>
    </w:div>
    <w:div w:id="112986925">
      <w:bodyDiv w:val="1"/>
      <w:marLeft w:val="0"/>
      <w:marRight w:val="0"/>
      <w:marTop w:val="0"/>
      <w:marBottom w:val="0"/>
      <w:divBdr>
        <w:top w:val="none" w:sz="0" w:space="0" w:color="auto"/>
        <w:left w:val="none" w:sz="0" w:space="0" w:color="auto"/>
        <w:bottom w:val="none" w:sz="0" w:space="0" w:color="auto"/>
        <w:right w:val="none" w:sz="0" w:space="0" w:color="auto"/>
      </w:divBdr>
    </w:div>
    <w:div w:id="132137091">
      <w:bodyDiv w:val="1"/>
      <w:marLeft w:val="0"/>
      <w:marRight w:val="0"/>
      <w:marTop w:val="0"/>
      <w:marBottom w:val="0"/>
      <w:divBdr>
        <w:top w:val="none" w:sz="0" w:space="0" w:color="auto"/>
        <w:left w:val="none" w:sz="0" w:space="0" w:color="auto"/>
        <w:bottom w:val="none" w:sz="0" w:space="0" w:color="auto"/>
        <w:right w:val="none" w:sz="0" w:space="0" w:color="auto"/>
      </w:divBdr>
    </w:div>
    <w:div w:id="166678351">
      <w:bodyDiv w:val="1"/>
      <w:marLeft w:val="0"/>
      <w:marRight w:val="0"/>
      <w:marTop w:val="0"/>
      <w:marBottom w:val="0"/>
      <w:divBdr>
        <w:top w:val="none" w:sz="0" w:space="0" w:color="auto"/>
        <w:left w:val="none" w:sz="0" w:space="0" w:color="auto"/>
        <w:bottom w:val="none" w:sz="0" w:space="0" w:color="auto"/>
        <w:right w:val="none" w:sz="0" w:space="0" w:color="auto"/>
      </w:divBdr>
    </w:div>
    <w:div w:id="174268919">
      <w:bodyDiv w:val="1"/>
      <w:marLeft w:val="0"/>
      <w:marRight w:val="0"/>
      <w:marTop w:val="0"/>
      <w:marBottom w:val="0"/>
      <w:divBdr>
        <w:top w:val="none" w:sz="0" w:space="0" w:color="auto"/>
        <w:left w:val="none" w:sz="0" w:space="0" w:color="auto"/>
        <w:bottom w:val="none" w:sz="0" w:space="0" w:color="auto"/>
        <w:right w:val="none" w:sz="0" w:space="0" w:color="auto"/>
      </w:divBdr>
    </w:div>
    <w:div w:id="174926416">
      <w:bodyDiv w:val="1"/>
      <w:marLeft w:val="0"/>
      <w:marRight w:val="0"/>
      <w:marTop w:val="0"/>
      <w:marBottom w:val="0"/>
      <w:divBdr>
        <w:top w:val="none" w:sz="0" w:space="0" w:color="auto"/>
        <w:left w:val="none" w:sz="0" w:space="0" w:color="auto"/>
        <w:bottom w:val="none" w:sz="0" w:space="0" w:color="auto"/>
        <w:right w:val="none" w:sz="0" w:space="0" w:color="auto"/>
      </w:divBdr>
    </w:div>
    <w:div w:id="194345319">
      <w:bodyDiv w:val="1"/>
      <w:marLeft w:val="0"/>
      <w:marRight w:val="0"/>
      <w:marTop w:val="0"/>
      <w:marBottom w:val="0"/>
      <w:divBdr>
        <w:top w:val="none" w:sz="0" w:space="0" w:color="auto"/>
        <w:left w:val="none" w:sz="0" w:space="0" w:color="auto"/>
        <w:bottom w:val="none" w:sz="0" w:space="0" w:color="auto"/>
        <w:right w:val="none" w:sz="0" w:space="0" w:color="auto"/>
      </w:divBdr>
    </w:div>
    <w:div w:id="212544106">
      <w:bodyDiv w:val="1"/>
      <w:marLeft w:val="0"/>
      <w:marRight w:val="0"/>
      <w:marTop w:val="0"/>
      <w:marBottom w:val="0"/>
      <w:divBdr>
        <w:top w:val="none" w:sz="0" w:space="0" w:color="auto"/>
        <w:left w:val="none" w:sz="0" w:space="0" w:color="auto"/>
        <w:bottom w:val="none" w:sz="0" w:space="0" w:color="auto"/>
        <w:right w:val="none" w:sz="0" w:space="0" w:color="auto"/>
      </w:divBdr>
    </w:div>
    <w:div w:id="245263777">
      <w:bodyDiv w:val="1"/>
      <w:marLeft w:val="0"/>
      <w:marRight w:val="0"/>
      <w:marTop w:val="0"/>
      <w:marBottom w:val="0"/>
      <w:divBdr>
        <w:top w:val="none" w:sz="0" w:space="0" w:color="auto"/>
        <w:left w:val="none" w:sz="0" w:space="0" w:color="auto"/>
        <w:bottom w:val="none" w:sz="0" w:space="0" w:color="auto"/>
        <w:right w:val="none" w:sz="0" w:space="0" w:color="auto"/>
      </w:divBdr>
    </w:div>
    <w:div w:id="306058928">
      <w:bodyDiv w:val="1"/>
      <w:marLeft w:val="0"/>
      <w:marRight w:val="0"/>
      <w:marTop w:val="0"/>
      <w:marBottom w:val="0"/>
      <w:divBdr>
        <w:top w:val="none" w:sz="0" w:space="0" w:color="auto"/>
        <w:left w:val="none" w:sz="0" w:space="0" w:color="auto"/>
        <w:bottom w:val="none" w:sz="0" w:space="0" w:color="auto"/>
        <w:right w:val="none" w:sz="0" w:space="0" w:color="auto"/>
      </w:divBdr>
    </w:div>
    <w:div w:id="312489454">
      <w:bodyDiv w:val="1"/>
      <w:marLeft w:val="0"/>
      <w:marRight w:val="0"/>
      <w:marTop w:val="0"/>
      <w:marBottom w:val="0"/>
      <w:divBdr>
        <w:top w:val="none" w:sz="0" w:space="0" w:color="auto"/>
        <w:left w:val="none" w:sz="0" w:space="0" w:color="auto"/>
        <w:bottom w:val="none" w:sz="0" w:space="0" w:color="auto"/>
        <w:right w:val="none" w:sz="0" w:space="0" w:color="auto"/>
      </w:divBdr>
    </w:div>
    <w:div w:id="315694825">
      <w:bodyDiv w:val="1"/>
      <w:marLeft w:val="0"/>
      <w:marRight w:val="0"/>
      <w:marTop w:val="0"/>
      <w:marBottom w:val="0"/>
      <w:divBdr>
        <w:top w:val="none" w:sz="0" w:space="0" w:color="auto"/>
        <w:left w:val="none" w:sz="0" w:space="0" w:color="auto"/>
        <w:bottom w:val="none" w:sz="0" w:space="0" w:color="auto"/>
        <w:right w:val="none" w:sz="0" w:space="0" w:color="auto"/>
      </w:divBdr>
    </w:div>
    <w:div w:id="318389061">
      <w:bodyDiv w:val="1"/>
      <w:marLeft w:val="0"/>
      <w:marRight w:val="0"/>
      <w:marTop w:val="0"/>
      <w:marBottom w:val="0"/>
      <w:divBdr>
        <w:top w:val="none" w:sz="0" w:space="0" w:color="auto"/>
        <w:left w:val="none" w:sz="0" w:space="0" w:color="auto"/>
        <w:bottom w:val="none" w:sz="0" w:space="0" w:color="auto"/>
        <w:right w:val="none" w:sz="0" w:space="0" w:color="auto"/>
      </w:divBdr>
    </w:div>
    <w:div w:id="330108591">
      <w:bodyDiv w:val="1"/>
      <w:marLeft w:val="0"/>
      <w:marRight w:val="0"/>
      <w:marTop w:val="0"/>
      <w:marBottom w:val="0"/>
      <w:divBdr>
        <w:top w:val="none" w:sz="0" w:space="0" w:color="auto"/>
        <w:left w:val="none" w:sz="0" w:space="0" w:color="auto"/>
        <w:bottom w:val="none" w:sz="0" w:space="0" w:color="auto"/>
        <w:right w:val="none" w:sz="0" w:space="0" w:color="auto"/>
      </w:divBdr>
    </w:div>
    <w:div w:id="428964756">
      <w:bodyDiv w:val="1"/>
      <w:marLeft w:val="0"/>
      <w:marRight w:val="0"/>
      <w:marTop w:val="0"/>
      <w:marBottom w:val="0"/>
      <w:divBdr>
        <w:top w:val="none" w:sz="0" w:space="0" w:color="auto"/>
        <w:left w:val="none" w:sz="0" w:space="0" w:color="auto"/>
        <w:bottom w:val="none" w:sz="0" w:space="0" w:color="auto"/>
        <w:right w:val="none" w:sz="0" w:space="0" w:color="auto"/>
      </w:divBdr>
    </w:div>
    <w:div w:id="448201320">
      <w:bodyDiv w:val="1"/>
      <w:marLeft w:val="0"/>
      <w:marRight w:val="0"/>
      <w:marTop w:val="0"/>
      <w:marBottom w:val="0"/>
      <w:divBdr>
        <w:top w:val="none" w:sz="0" w:space="0" w:color="auto"/>
        <w:left w:val="none" w:sz="0" w:space="0" w:color="auto"/>
        <w:bottom w:val="none" w:sz="0" w:space="0" w:color="auto"/>
        <w:right w:val="none" w:sz="0" w:space="0" w:color="auto"/>
      </w:divBdr>
    </w:div>
    <w:div w:id="499664542">
      <w:bodyDiv w:val="1"/>
      <w:marLeft w:val="0"/>
      <w:marRight w:val="0"/>
      <w:marTop w:val="0"/>
      <w:marBottom w:val="0"/>
      <w:divBdr>
        <w:top w:val="none" w:sz="0" w:space="0" w:color="auto"/>
        <w:left w:val="none" w:sz="0" w:space="0" w:color="auto"/>
        <w:bottom w:val="none" w:sz="0" w:space="0" w:color="auto"/>
        <w:right w:val="none" w:sz="0" w:space="0" w:color="auto"/>
      </w:divBdr>
    </w:div>
    <w:div w:id="506947528">
      <w:bodyDiv w:val="1"/>
      <w:marLeft w:val="0"/>
      <w:marRight w:val="0"/>
      <w:marTop w:val="0"/>
      <w:marBottom w:val="0"/>
      <w:divBdr>
        <w:top w:val="none" w:sz="0" w:space="0" w:color="auto"/>
        <w:left w:val="none" w:sz="0" w:space="0" w:color="auto"/>
        <w:bottom w:val="none" w:sz="0" w:space="0" w:color="auto"/>
        <w:right w:val="none" w:sz="0" w:space="0" w:color="auto"/>
      </w:divBdr>
    </w:div>
    <w:div w:id="579753743">
      <w:bodyDiv w:val="1"/>
      <w:marLeft w:val="0"/>
      <w:marRight w:val="0"/>
      <w:marTop w:val="0"/>
      <w:marBottom w:val="0"/>
      <w:divBdr>
        <w:top w:val="none" w:sz="0" w:space="0" w:color="auto"/>
        <w:left w:val="none" w:sz="0" w:space="0" w:color="auto"/>
        <w:bottom w:val="none" w:sz="0" w:space="0" w:color="auto"/>
        <w:right w:val="none" w:sz="0" w:space="0" w:color="auto"/>
      </w:divBdr>
    </w:div>
    <w:div w:id="580532333">
      <w:bodyDiv w:val="1"/>
      <w:marLeft w:val="0"/>
      <w:marRight w:val="0"/>
      <w:marTop w:val="0"/>
      <w:marBottom w:val="0"/>
      <w:divBdr>
        <w:top w:val="none" w:sz="0" w:space="0" w:color="auto"/>
        <w:left w:val="none" w:sz="0" w:space="0" w:color="auto"/>
        <w:bottom w:val="none" w:sz="0" w:space="0" w:color="auto"/>
        <w:right w:val="none" w:sz="0" w:space="0" w:color="auto"/>
      </w:divBdr>
    </w:div>
    <w:div w:id="636104761">
      <w:bodyDiv w:val="1"/>
      <w:marLeft w:val="0"/>
      <w:marRight w:val="0"/>
      <w:marTop w:val="0"/>
      <w:marBottom w:val="0"/>
      <w:divBdr>
        <w:top w:val="none" w:sz="0" w:space="0" w:color="auto"/>
        <w:left w:val="none" w:sz="0" w:space="0" w:color="auto"/>
        <w:bottom w:val="none" w:sz="0" w:space="0" w:color="auto"/>
        <w:right w:val="none" w:sz="0" w:space="0" w:color="auto"/>
      </w:divBdr>
    </w:div>
    <w:div w:id="646936037">
      <w:bodyDiv w:val="1"/>
      <w:marLeft w:val="0"/>
      <w:marRight w:val="0"/>
      <w:marTop w:val="0"/>
      <w:marBottom w:val="0"/>
      <w:divBdr>
        <w:top w:val="none" w:sz="0" w:space="0" w:color="auto"/>
        <w:left w:val="none" w:sz="0" w:space="0" w:color="auto"/>
        <w:bottom w:val="none" w:sz="0" w:space="0" w:color="auto"/>
        <w:right w:val="none" w:sz="0" w:space="0" w:color="auto"/>
      </w:divBdr>
    </w:div>
    <w:div w:id="655184751">
      <w:bodyDiv w:val="1"/>
      <w:marLeft w:val="0"/>
      <w:marRight w:val="0"/>
      <w:marTop w:val="0"/>
      <w:marBottom w:val="0"/>
      <w:divBdr>
        <w:top w:val="none" w:sz="0" w:space="0" w:color="auto"/>
        <w:left w:val="none" w:sz="0" w:space="0" w:color="auto"/>
        <w:bottom w:val="none" w:sz="0" w:space="0" w:color="auto"/>
        <w:right w:val="none" w:sz="0" w:space="0" w:color="auto"/>
      </w:divBdr>
    </w:div>
    <w:div w:id="679701402">
      <w:bodyDiv w:val="1"/>
      <w:marLeft w:val="0"/>
      <w:marRight w:val="0"/>
      <w:marTop w:val="0"/>
      <w:marBottom w:val="0"/>
      <w:divBdr>
        <w:top w:val="none" w:sz="0" w:space="0" w:color="auto"/>
        <w:left w:val="none" w:sz="0" w:space="0" w:color="auto"/>
        <w:bottom w:val="none" w:sz="0" w:space="0" w:color="auto"/>
        <w:right w:val="none" w:sz="0" w:space="0" w:color="auto"/>
      </w:divBdr>
    </w:div>
    <w:div w:id="683477206">
      <w:bodyDiv w:val="1"/>
      <w:marLeft w:val="0"/>
      <w:marRight w:val="0"/>
      <w:marTop w:val="0"/>
      <w:marBottom w:val="0"/>
      <w:divBdr>
        <w:top w:val="none" w:sz="0" w:space="0" w:color="auto"/>
        <w:left w:val="none" w:sz="0" w:space="0" w:color="auto"/>
        <w:bottom w:val="none" w:sz="0" w:space="0" w:color="auto"/>
        <w:right w:val="none" w:sz="0" w:space="0" w:color="auto"/>
      </w:divBdr>
    </w:div>
    <w:div w:id="742144899">
      <w:bodyDiv w:val="1"/>
      <w:marLeft w:val="0"/>
      <w:marRight w:val="0"/>
      <w:marTop w:val="0"/>
      <w:marBottom w:val="0"/>
      <w:divBdr>
        <w:top w:val="none" w:sz="0" w:space="0" w:color="auto"/>
        <w:left w:val="none" w:sz="0" w:space="0" w:color="auto"/>
        <w:bottom w:val="none" w:sz="0" w:space="0" w:color="auto"/>
        <w:right w:val="none" w:sz="0" w:space="0" w:color="auto"/>
      </w:divBdr>
    </w:div>
    <w:div w:id="885719596">
      <w:bodyDiv w:val="1"/>
      <w:marLeft w:val="0"/>
      <w:marRight w:val="0"/>
      <w:marTop w:val="0"/>
      <w:marBottom w:val="0"/>
      <w:divBdr>
        <w:top w:val="none" w:sz="0" w:space="0" w:color="auto"/>
        <w:left w:val="none" w:sz="0" w:space="0" w:color="auto"/>
        <w:bottom w:val="none" w:sz="0" w:space="0" w:color="auto"/>
        <w:right w:val="none" w:sz="0" w:space="0" w:color="auto"/>
      </w:divBdr>
    </w:div>
    <w:div w:id="930048477">
      <w:bodyDiv w:val="1"/>
      <w:marLeft w:val="0"/>
      <w:marRight w:val="0"/>
      <w:marTop w:val="0"/>
      <w:marBottom w:val="0"/>
      <w:divBdr>
        <w:top w:val="none" w:sz="0" w:space="0" w:color="auto"/>
        <w:left w:val="none" w:sz="0" w:space="0" w:color="auto"/>
        <w:bottom w:val="none" w:sz="0" w:space="0" w:color="auto"/>
        <w:right w:val="none" w:sz="0" w:space="0" w:color="auto"/>
      </w:divBdr>
    </w:div>
    <w:div w:id="996618600">
      <w:bodyDiv w:val="1"/>
      <w:marLeft w:val="0"/>
      <w:marRight w:val="0"/>
      <w:marTop w:val="0"/>
      <w:marBottom w:val="0"/>
      <w:divBdr>
        <w:top w:val="none" w:sz="0" w:space="0" w:color="auto"/>
        <w:left w:val="none" w:sz="0" w:space="0" w:color="auto"/>
        <w:bottom w:val="none" w:sz="0" w:space="0" w:color="auto"/>
        <w:right w:val="none" w:sz="0" w:space="0" w:color="auto"/>
      </w:divBdr>
    </w:div>
    <w:div w:id="1002051282">
      <w:bodyDiv w:val="1"/>
      <w:marLeft w:val="0"/>
      <w:marRight w:val="0"/>
      <w:marTop w:val="0"/>
      <w:marBottom w:val="0"/>
      <w:divBdr>
        <w:top w:val="none" w:sz="0" w:space="0" w:color="auto"/>
        <w:left w:val="none" w:sz="0" w:space="0" w:color="auto"/>
        <w:bottom w:val="none" w:sz="0" w:space="0" w:color="auto"/>
        <w:right w:val="none" w:sz="0" w:space="0" w:color="auto"/>
      </w:divBdr>
    </w:div>
    <w:div w:id="1054700858">
      <w:bodyDiv w:val="1"/>
      <w:marLeft w:val="0"/>
      <w:marRight w:val="0"/>
      <w:marTop w:val="0"/>
      <w:marBottom w:val="0"/>
      <w:divBdr>
        <w:top w:val="none" w:sz="0" w:space="0" w:color="auto"/>
        <w:left w:val="none" w:sz="0" w:space="0" w:color="auto"/>
        <w:bottom w:val="none" w:sz="0" w:space="0" w:color="auto"/>
        <w:right w:val="none" w:sz="0" w:space="0" w:color="auto"/>
      </w:divBdr>
    </w:div>
    <w:div w:id="1090781635">
      <w:bodyDiv w:val="1"/>
      <w:marLeft w:val="0"/>
      <w:marRight w:val="0"/>
      <w:marTop w:val="0"/>
      <w:marBottom w:val="0"/>
      <w:divBdr>
        <w:top w:val="none" w:sz="0" w:space="0" w:color="auto"/>
        <w:left w:val="none" w:sz="0" w:space="0" w:color="auto"/>
        <w:bottom w:val="none" w:sz="0" w:space="0" w:color="auto"/>
        <w:right w:val="none" w:sz="0" w:space="0" w:color="auto"/>
      </w:divBdr>
    </w:div>
    <w:div w:id="1157844490">
      <w:bodyDiv w:val="1"/>
      <w:marLeft w:val="0"/>
      <w:marRight w:val="0"/>
      <w:marTop w:val="0"/>
      <w:marBottom w:val="0"/>
      <w:divBdr>
        <w:top w:val="none" w:sz="0" w:space="0" w:color="auto"/>
        <w:left w:val="none" w:sz="0" w:space="0" w:color="auto"/>
        <w:bottom w:val="none" w:sz="0" w:space="0" w:color="auto"/>
        <w:right w:val="none" w:sz="0" w:space="0" w:color="auto"/>
      </w:divBdr>
    </w:div>
    <w:div w:id="1165899009">
      <w:bodyDiv w:val="1"/>
      <w:marLeft w:val="0"/>
      <w:marRight w:val="0"/>
      <w:marTop w:val="0"/>
      <w:marBottom w:val="0"/>
      <w:divBdr>
        <w:top w:val="none" w:sz="0" w:space="0" w:color="auto"/>
        <w:left w:val="none" w:sz="0" w:space="0" w:color="auto"/>
        <w:bottom w:val="none" w:sz="0" w:space="0" w:color="auto"/>
        <w:right w:val="none" w:sz="0" w:space="0" w:color="auto"/>
      </w:divBdr>
    </w:div>
    <w:div w:id="1250383557">
      <w:bodyDiv w:val="1"/>
      <w:marLeft w:val="0"/>
      <w:marRight w:val="0"/>
      <w:marTop w:val="0"/>
      <w:marBottom w:val="0"/>
      <w:divBdr>
        <w:top w:val="none" w:sz="0" w:space="0" w:color="auto"/>
        <w:left w:val="none" w:sz="0" w:space="0" w:color="auto"/>
        <w:bottom w:val="none" w:sz="0" w:space="0" w:color="auto"/>
        <w:right w:val="none" w:sz="0" w:space="0" w:color="auto"/>
      </w:divBdr>
    </w:div>
    <w:div w:id="1302731329">
      <w:bodyDiv w:val="1"/>
      <w:marLeft w:val="0"/>
      <w:marRight w:val="0"/>
      <w:marTop w:val="0"/>
      <w:marBottom w:val="0"/>
      <w:divBdr>
        <w:top w:val="none" w:sz="0" w:space="0" w:color="auto"/>
        <w:left w:val="none" w:sz="0" w:space="0" w:color="auto"/>
        <w:bottom w:val="none" w:sz="0" w:space="0" w:color="auto"/>
        <w:right w:val="none" w:sz="0" w:space="0" w:color="auto"/>
      </w:divBdr>
    </w:div>
    <w:div w:id="1363482478">
      <w:bodyDiv w:val="1"/>
      <w:marLeft w:val="0"/>
      <w:marRight w:val="0"/>
      <w:marTop w:val="0"/>
      <w:marBottom w:val="0"/>
      <w:divBdr>
        <w:top w:val="none" w:sz="0" w:space="0" w:color="auto"/>
        <w:left w:val="none" w:sz="0" w:space="0" w:color="auto"/>
        <w:bottom w:val="none" w:sz="0" w:space="0" w:color="auto"/>
        <w:right w:val="none" w:sz="0" w:space="0" w:color="auto"/>
      </w:divBdr>
    </w:div>
    <w:div w:id="1479296596">
      <w:bodyDiv w:val="1"/>
      <w:marLeft w:val="0"/>
      <w:marRight w:val="0"/>
      <w:marTop w:val="0"/>
      <w:marBottom w:val="0"/>
      <w:divBdr>
        <w:top w:val="none" w:sz="0" w:space="0" w:color="auto"/>
        <w:left w:val="none" w:sz="0" w:space="0" w:color="auto"/>
        <w:bottom w:val="none" w:sz="0" w:space="0" w:color="auto"/>
        <w:right w:val="none" w:sz="0" w:space="0" w:color="auto"/>
      </w:divBdr>
    </w:div>
    <w:div w:id="1706052532">
      <w:bodyDiv w:val="1"/>
      <w:marLeft w:val="0"/>
      <w:marRight w:val="0"/>
      <w:marTop w:val="0"/>
      <w:marBottom w:val="0"/>
      <w:divBdr>
        <w:top w:val="none" w:sz="0" w:space="0" w:color="auto"/>
        <w:left w:val="none" w:sz="0" w:space="0" w:color="auto"/>
        <w:bottom w:val="none" w:sz="0" w:space="0" w:color="auto"/>
        <w:right w:val="none" w:sz="0" w:space="0" w:color="auto"/>
      </w:divBdr>
    </w:div>
    <w:div w:id="1729304051">
      <w:bodyDiv w:val="1"/>
      <w:marLeft w:val="0"/>
      <w:marRight w:val="0"/>
      <w:marTop w:val="0"/>
      <w:marBottom w:val="0"/>
      <w:divBdr>
        <w:top w:val="none" w:sz="0" w:space="0" w:color="auto"/>
        <w:left w:val="none" w:sz="0" w:space="0" w:color="auto"/>
        <w:bottom w:val="none" w:sz="0" w:space="0" w:color="auto"/>
        <w:right w:val="none" w:sz="0" w:space="0" w:color="auto"/>
      </w:divBdr>
    </w:div>
    <w:div w:id="1799495201">
      <w:bodyDiv w:val="1"/>
      <w:marLeft w:val="0"/>
      <w:marRight w:val="0"/>
      <w:marTop w:val="0"/>
      <w:marBottom w:val="0"/>
      <w:divBdr>
        <w:top w:val="none" w:sz="0" w:space="0" w:color="auto"/>
        <w:left w:val="none" w:sz="0" w:space="0" w:color="auto"/>
        <w:bottom w:val="none" w:sz="0" w:space="0" w:color="auto"/>
        <w:right w:val="none" w:sz="0" w:space="0" w:color="auto"/>
      </w:divBdr>
    </w:div>
    <w:div w:id="1821262662">
      <w:bodyDiv w:val="1"/>
      <w:marLeft w:val="0"/>
      <w:marRight w:val="0"/>
      <w:marTop w:val="0"/>
      <w:marBottom w:val="0"/>
      <w:divBdr>
        <w:top w:val="none" w:sz="0" w:space="0" w:color="auto"/>
        <w:left w:val="none" w:sz="0" w:space="0" w:color="auto"/>
        <w:bottom w:val="none" w:sz="0" w:space="0" w:color="auto"/>
        <w:right w:val="none" w:sz="0" w:space="0" w:color="auto"/>
      </w:divBdr>
    </w:div>
    <w:div w:id="1871066864">
      <w:bodyDiv w:val="1"/>
      <w:marLeft w:val="0"/>
      <w:marRight w:val="0"/>
      <w:marTop w:val="0"/>
      <w:marBottom w:val="0"/>
      <w:divBdr>
        <w:top w:val="none" w:sz="0" w:space="0" w:color="auto"/>
        <w:left w:val="none" w:sz="0" w:space="0" w:color="auto"/>
        <w:bottom w:val="none" w:sz="0" w:space="0" w:color="auto"/>
        <w:right w:val="none" w:sz="0" w:space="0" w:color="auto"/>
      </w:divBdr>
    </w:div>
    <w:div w:id="1888682928">
      <w:bodyDiv w:val="1"/>
      <w:marLeft w:val="0"/>
      <w:marRight w:val="0"/>
      <w:marTop w:val="0"/>
      <w:marBottom w:val="0"/>
      <w:divBdr>
        <w:top w:val="none" w:sz="0" w:space="0" w:color="auto"/>
        <w:left w:val="none" w:sz="0" w:space="0" w:color="auto"/>
        <w:bottom w:val="none" w:sz="0" w:space="0" w:color="auto"/>
        <w:right w:val="none" w:sz="0" w:space="0" w:color="auto"/>
      </w:divBdr>
    </w:div>
    <w:div w:id="1934823131">
      <w:bodyDiv w:val="1"/>
      <w:marLeft w:val="0"/>
      <w:marRight w:val="0"/>
      <w:marTop w:val="0"/>
      <w:marBottom w:val="0"/>
      <w:divBdr>
        <w:top w:val="none" w:sz="0" w:space="0" w:color="auto"/>
        <w:left w:val="none" w:sz="0" w:space="0" w:color="auto"/>
        <w:bottom w:val="none" w:sz="0" w:space="0" w:color="auto"/>
        <w:right w:val="none" w:sz="0" w:space="0" w:color="auto"/>
      </w:divBdr>
    </w:div>
    <w:div w:id="1943492420">
      <w:bodyDiv w:val="1"/>
      <w:marLeft w:val="0"/>
      <w:marRight w:val="0"/>
      <w:marTop w:val="0"/>
      <w:marBottom w:val="0"/>
      <w:divBdr>
        <w:top w:val="none" w:sz="0" w:space="0" w:color="auto"/>
        <w:left w:val="none" w:sz="0" w:space="0" w:color="auto"/>
        <w:bottom w:val="none" w:sz="0" w:space="0" w:color="auto"/>
        <w:right w:val="none" w:sz="0" w:space="0" w:color="auto"/>
      </w:divBdr>
    </w:div>
    <w:div w:id="1944994864">
      <w:bodyDiv w:val="1"/>
      <w:marLeft w:val="0"/>
      <w:marRight w:val="0"/>
      <w:marTop w:val="0"/>
      <w:marBottom w:val="0"/>
      <w:divBdr>
        <w:top w:val="none" w:sz="0" w:space="0" w:color="auto"/>
        <w:left w:val="none" w:sz="0" w:space="0" w:color="auto"/>
        <w:bottom w:val="none" w:sz="0" w:space="0" w:color="auto"/>
        <w:right w:val="none" w:sz="0" w:space="0" w:color="auto"/>
      </w:divBdr>
    </w:div>
    <w:div w:id="1967541323">
      <w:bodyDiv w:val="1"/>
      <w:marLeft w:val="0"/>
      <w:marRight w:val="0"/>
      <w:marTop w:val="0"/>
      <w:marBottom w:val="0"/>
      <w:divBdr>
        <w:top w:val="none" w:sz="0" w:space="0" w:color="auto"/>
        <w:left w:val="none" w:sz="0" w:space="0" w:color="auto"/>
        <w:bottom w:val="none" w:sz="0" w:space="0" w:color="auto"/>
        <w:right w:val="none" w:sz="0" w:space="0" w:color="auto"/>
      </w:divBdr>
    </w:div>
    <w:div w:id="1970092533">
      <w:bodyDiv w:val="1"/>
      <w:marLeft w:val="0"/>
      <w:marRight w:val="0"/>
      <w:marTop w:val="0"/>
      <w:marBottom w:val="0"/>
      <w:divBdr>
        <w:top w:val="none" w:sz="0" w:space="0" w:color="auto"/>
        <w:left w:val="none" w:sz="0" w:space="0" w:color="auto"/>
        <w:bottom w:val="none" w:sz="0" w:space="0" w:color="auto"/>
        <w:right w:val="none" w:sz="0" w:space="0" w:color="auto"/>
      </w:divBdr>
    </w:div>
    <w:div w:id="2004118608">
      <w:bodyDiv w:val="1"/>
      <w:marLeft w:val="0"/>
      <w:marRight w:val="0"/>
      <w:marTop w:val="0"/>
      <w:marBottom w:val="0"/>
      <w:divBdr>
        <w:top w:val="none" w:sz="0" w:space="0" w:color="auto"/>
        <w:left w:val="none" w:sz="0" w:space="0" w:color="auto"/>
        <w:bottom w:val="none" w:sz="0" w:space="0" w:color="auto"/>
        <w:right w:val="none" w:sz="0" w:space="0" w:color="auto"/>
      </w:divBdr>
    </w:div>
    <w:div w:id="2053311466">
      <w:bodyDiv w:val="1"/>
      <w:marLeft w:val="0"/>
      <w:marRight w:val="0"/>
      <w:marTop w:val="0"/>
      <w:marBottom w:val="0"/>
      <w:divBdr>
        <w:top w:val="none" w:sz="0" w:space="0" w:color="auto"/>
        <w:left w:val="none" w:sz="0" w:space="0" w:color="auto"/>
        <w:bottom w:val="none" w:sz="0" w:space="0" w:color="auto"/>
        <w:right w:val="none" w:sz="0" w:space="0" w:color="auto"/>
      </w:divBdr>
    </w:div>
    <w:div w:id="21406108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1.vsdx"/><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A6C2134160B1A4083A3FDA85C8A909E" ma:contentTypeVersion="0" ma:contentTypeDescription="Create a new document." ma:contentTypeScope="" ma:versionID="5a6bfec6c1ce9dc883370bd288edafe0">
  <xsd:schema xmlns:xsd="http://www.w3.org/2001/XMLSchema" xmlns:xs="http://www.w3.org/2001/XMLSchema" xmlns:p="http://schemas.microsoft.com/office/2006/metadata/properties" targetNamespace="http://schemas.microsoft.com/office/2006/metadata/properties" ma:root="true" ma:fieldsID="c64490b4aec6201516c3a874156f37b2">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IEEE2006OfficeOnline.xsl" StyleName="IEEE" Version="2006">
  <b:Source>
    <b:Tag>TR22886</b:Tag>
    <b:SourceType>ConferenceProceedings</b:SourceType>
    <b:Guid>{80F46A4E-4378-47F0-B9CE-A67D863509BC}</b:Guid>
    <b:Title>TR 22.886, Technical Specification Group Services and System Aspects</b:Title>
    <b:RefOrder>1</b:RefOrder>
  </b:Source>
  <b:Source>
    <b:Tag>WI</b:Tag>
    <b:SourceType>ConferenceProceedings</b:SourceType>
    <b:Guid>{C5A79619-99D3-4D94-90AB-4E1935AC2E84}</b:Guid>
    <b:Title>RP-171069, WI: V2X phase 2 based on LTE</b:Title>
    <b:RefOrder>3</b:RefOrder>
  </b:Source>
  <b:Source>
    <b:Tag>chairmanNotesR1</b:Tag>
    <b:SourceType>ConferenceProceedings</b:SourceType>
    <b:Guid>{9F989D18-5DA5-4B67-B5C4-AEAB9EA5C5D6}</b:Guid>
    <b:Title>R1-1709688, Chairman's notes of AI 6.2.3 3GPP V2X Phase 2</b:Title>
    <b:RefOrder>2</b:RefOrder>
  </b:Source>
</b:Sources>
</file>

<file path=customXml/itemProps1.xml><?xml version="1.0" encoding="utf-8"?>
<ds:datastoreItem xmlns:ds="http://schemas.openxmlformats.org/officeDocument/2006/customXml" ds:itemID="{4C086211-7F5D-4D3D-98C6-46625FA417A7}">
  <ds:schemaRefs>
    <ds:schemaRef ds:uri="http://schemas.microsoft.com/sharepoint/v3/contenttype/forms"/>
  </ds:schemaRefs>
</ds:datastoreItem>
</file>

<file path=customXml/itemProps2.xml><?xml version="1.0" encoding="utf-8"?>
<ds:datastoreItem xmlns:ds="http://schemas.openxmlformats.org/officeDocument/2006/customXml" ds:itemID="{ECBBECEB-93BD-4642-93BD-6B9C9A7AC68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97CF9B5B-CEE0-4B9A-AF13-D0C734C1CE52}">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www.w3.org/XML/1998/namespace"/>
    <ds:schemaRef ds:uri="http://purl.org/dc/dcmitype/"/>
  </ds:schemaRefs>
</ds:datastoreItem>
</file>

<file path=customXml/itemProps4.xml><?xml version="1.0" encoding="utf-8"?>
<ds:datastoreItem xmlns:ds="http://schemas.openxmlformats.org/officeDocument/2006/customXml" ds:itemID="{15152713-294F-4ABB-A01E-486AFD5F22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176</TotalTime>
  <Pages>4</Pages>
  <Words>1728</Words>
  <Characters>9855</Characters>
  <Application>Microsoft Office Word</Application>
  <DocSecurity>0</DocSecurity>
  <Lines>82</Lines>
  <Paragraphs>23</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11560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 Ansab</dc:creator>
  <cp:keywords>CTPClassification=CTP_IC:VisualMarkings=</cp:keywords>
  <dc:description/>
  <cp:lastModifiedBy>Ansab Ali</cp:lastModifiedBy>
  <cp:revision>18</cp:revision>
  <dcterms:created xsi:type="dcterms:W3CDTF">2017-08-10T20:32:00Z</dcterms:created>
  <dcterms:modified xsi:type="dcterms:W3CDTF">2017-08-12T04:28:00Z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0x0101001A6C2134160B1A4083A3FDA85C8A909E</vt:lpwstr>
  </property>
  <property fmtid="{D5CDD505-2E9C-101B-9397-08002B2CF9AE}" pid="3" name="TitusGUID">
    <vt:lpwstr>8850e581-4a43-4e8f-a7f6-8ac716511562</vt:lpwstr>
  </property>
  <property fmtid="{D5CDD505-2E9C-101B-9397-08002B2CF9AE}" pid="4" name="CTP_BU">
    <vt:lpwstr>NEXT GEN AND STANDARDS GROUP</vt:lpwstr>
  </property>
  <property fmtid="{D5CDD505-2E9C-101B-9397-08002B2CF9AE}" pid="5" name="CTP_TimeStamp">
    <vt:lpwstr>2017-05-02 09:57:12Z</vt:lpwstr>
  </property>
  <property fmtid="{D5CDD505-2E9C-101B-9397-08002B2CF9AE}" pid="6" name="CTPClassification">
    <vt:lpwstr>CTP_IC</vt:lpwstr>
  </property>
</Properties>
</file>